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A03A3" w14:textId="38662659" w:rsidR="00056C33" w:rsidRPr="008E7119" w:rsidRDefault="00EC500A" w:rsidP="00BB1A04">
      <w:pPr>
        <w:jc w:val="center"/>
        <w:rPr>
          <w:b/>
          <w:lang w:val="ro-RO"/>
        </w:rPr>
      </w:pPr>
      <w:r>
        <w:rPr>
          <w:b/>
          <w:lang w:val="ro-RO"/>
        </w:rPr>
        <w:t xml:space="preserve"> </w:t>
      </w:r>
      <w:r w:rsidR="00056C33" w:rsidRPr="008E7119">
        <w:rPr>
          <w:b/>
          <w:lang w:val="ro-RO"/>
        </w:rPr>
        <w:t>Sinteză propunerilor și obiecțiilor</w:t>
      </w:r>
    </w:p>
    <w:p w14:paraId="291A0F27" w14:textId="53272AD4" w:rsidR="00142C5C" w:rsidRPr="008E7119" w:rsidRDefault="00056C33" w:rsidP="00BB1A04">
      <w:pPr>
        <w:jc w:val="center"/>
        <w:rPr>
          <w:b/>
          <w:lang w:val="ro-MD"/>
        </w:rPr>
      </w:pPr>
      <w:r w:rsidRPr="008E7119">
        <w:rPr>
          <w:b/>
          <w:lang w:val="ro-MD"/>
        </w:rPr>
        <w:t xml:space="preserve">la proiectul </w:t>
      </w:r>
      <w:r w:rsidR="005857FB" w:rsidRPr="008E7119">
        <w:rPr>
          <w:b/>
          <w:lang w:val="ro-MD"/>
        </w:rPr>
        <w:t xml:space="preserve">cu privire la </w:t>
      </w:r>
      <w:r w:rsidR="004E759C" w:rsidRPr="008E7119">
        <w:rPr>
          <w:b/>
          <w:lang w:val="ro-MD"/>
        </w:rPr>
        <w:t xml:space="preserve">modificările ce se introduc în </w:t>
      </w:r>
      <w:r w:rsidR="004E759C" w:rsidRPr="008E7119">
        <w:rPr>
          <w:b/>
          <w:bCs/>
          <w:lang w:val="ro-MD"/>
        </w:rPr>
        <w:t>Codul rețelelor de gaze naturale,</w:t>
      </w:r>
      <w:r w:rsidR="004E759C" w:rsidRPr="008E7119">
        <w:rPr>
          <w:b/>
          <w:lang w:val="ro-MD"/>
        </w:rPr>
        <w:t xml:space="preserve"> aprobat prin Hotărârea Consiliului de administrație al ANRE nr.</w:t>
      </w:r>
      <w:r w:rsidR="008E7119">
        <w:rPr>
          <w:b/>
          <w:lang w:val="ro-MD"/>
        </w:rPr>
        <w:t xml:space="preserve"> </w:t>
      </w:r>
      <w:r w:rsidR="004E759C" w:rsidRPr="008E7119">
        <w:rPr>
          <w:b/>
          <w:lang w:val="ro-MD"/>
        </w:rPr>
        <w:t>420/2019 din 22.11.2019</w:t>
      </w:r>
      <w:r w:rsidR="004E759C" w:rsidRPr="008E7119">
        <w:rPr>
          <w:b/>
          <w:lang w:val="en-US"/>
        </w:rPr>
        <w:t>.</w:t>
      </w:r>
    </w:p>
    <w:tbl>
      <w:tblPr>
        <w:tblStyle w:val="GridTable1Light"/>
        <w:tblpPr w:leftFromText="180" w:rightFromText="180" w:vertAnchor="page" w:horzAnchor="margin" w:tblpY="158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60" w:firstRow="1" w:lastRow="1" w:firstColumn="0" w:lastColumn="1" w:noHBand="0" w:noVBand="0"/>
      </w:tblPr>
      <w:tblGrid>
        <w:gridCol w:w="986"/>
        <w:gridCol w:w="1561"/>
        <w:gridCol w:w="4450"/>
        <w:gridCol w:w="4476"/>
        <w:gridCol w:w="3087"/>
      </w:tblGrid>
      <w:tr w:rsidR="00517A50" w:rsidRPr="00511A6A" w14:paraId="34CEEC77" w14:textId="77777777" w:rsidTr="007B4B28">
        <w:trPr>
          <w:cnfStyle w:val="100000000000" w:firstRow="1" w:lastRow="0" w:firstColumn="0" w:lastColumn="0" w:oddVBand="0" w:evenVBand="0" w:oddHBand="0" w:evenHBand="0" w:firstRowFirstColumn="0" w:firstRowLastColumn="0" w:lastRowFirstColumn="0" w:lastRowLastColumn="0"/>
          <w:trHeight w:val="1412"/>
        </w:trPr>
        <w:tc>
          <w:tcPr>
            <w:tcW w:w="339" w:type="pct"/>
            <w:tcBorders>
              <w:bottom w:val="single" w:sz="4" w:space="0" w:color="auto"/>
            </w:tcBorders>
            <w:vAlign w:val="center"/>
          </w:tcPr>
          <w:p w14:paraId="65A22F54" w14:textId="19569046" w:rsidR="00D549BA" w:rsidRPr="001648D4" w:rsidRDefault="00D549BA" w:rsidP="00BB1A04">
            <w:pPr>
              <w:jc w:val="center"/>
              <w:rPr>
                <w:b w:val="0"/>
                <w:sz w:val="22"/>
                <w:szCs w:val="22"/>
                <w:lang w:val="ro-RO"/>
              </w:rPr>
            </w:pPr>
            <w:r w:rsidRPr="001648D4">
              <w:rPr>
                <w:sz w:val="22"/>
                <w:szCs w:val="22"/>
                <w:lang w:val="ro-RO"/>
              </w:rPr>
              <w:t>Pct.</w:t>
            </w:r>
          </w:p>
        </w:tc>
        <w:tc>
          <w:tcPr>
            <w:tcW w:w="536" w:type="pct"/>
            <w:tcBorders>
              <w:bottom w:val="single" w:sz="4" w:space="0" w:color="auto"/>
            </w:tcBorders>
            <w:vAlign w:val="center"/>
          </w:tcPr>
          <w:p w14:paraId="19FE932B" w14:textId="6BD921B3" w:rsidR="00D549BA" w:rsidRPr="001648D4" w:rsidRDefault="00D549BA" w:rsidP="00BB1A04">
            <w:pPr>
              <w:rPr>
                <w:b w:val="0"/>
                <w:sz w:val="22"/>
                <w:szCs w:val="22"/>
                <w:lang w:val="en-GB"/>
              </w:rPr>
            </w:pPr>
            <w:r w:rsidRPr="001648D4">
              <w:rPr>
                <w:sz w:val="22"/>
                <w:szCs w:val="22"/>
                <w:lang w:val="en-GB"/>
              </w:rPr>
              <w:t>Participantul la avizare/</w:t>
            </w:r>
            <w:r w:rsidR="00BB0FC9" w:rsidRPr="001648D4">
              <w:rPr>
                <w:sz w:val="22"/>
                <w:szCs w:val="22"/>
                <w:lang w:val="en-GB"/>
              </w:rPr>
              <w:t xml:space="preserve"> </w:t>
            </w:r>
            <w:r w:rsidRPr="001648D4">
              <w:rPr>
                <w:sz w:val="22"/>
                <w:szCs w:val="22"/>
                <w:lang w:val="en-GB"/>
              </w:rPr>
              <w:t>expertizare</w:t>
            </w:r>
          </w:p>
        </w:tc>
        <w:tc>
          <w:tcPr>
            <w:tcW w:w="1528" w:type="pct"/>
            <w:tcBorders>
              <w:bottom w:val="single" w:sz="4" w:space="0" w:color="auto"/>
            </w:tcBorders>
            <w:vAlign w:val="center"/>
          </w:tcPr>
          <w:p w14:paraId="56609071" w14:textId="253EC533" w:rsidR="00D549BA" w:rsidRPr="001648D4" w:rsidRDefault="00D549BA" w:rsidP="00BB1A04">
            <w:pPr>
              <w:pStyle w:val="NormalWeb"/>
              <w:tabs>
                <w:tab w:val="left" w:pos="851"/>
              </w:tabs>
              <w:ind w:firstLine="0"/>
              <w:rPr>
                <w:b w:val="0"/>
                <w:bCs w:val="0"/>
                <w:sz w:val="22"/>
                <w:szCs w:val="22"/>
                <w:lang w:val="ro-MD"/>
              </w:rPr>
            </w:pPr>
            <w:r w:rsidRPr="001648D4">
              <w:rPr>
                <w:sz w:val="22"/>
                <w:szCs w:val="22"/>
                <w:lang w:val="ro-RO"/>
              </w:rPr>
              <w:t>Text conform proiectului</w:t>
            </w:r>
          </w:p>
        </w:tc>
        <w:tc>
          <w:tcPr>
            <w:tcW w:w="1537" w:type="pct"/>
            <w:tcBorders>
              <w:bottom w:val="single" w:sz="4" w:space="0" w:color="auto"/>
            </w:tcBorders>
            <w:vAlign w:val="center"/>
          </w:tcPr>
          <w:p w14:paraId="5768ABD9" w14:textId="29ED8D53" w:rsidR="00D549BA" w:rsidRPr="001648D4" w:rsidRDefault="00D549BA" w:rsidP="00BB1A04">
            <w:pPr>
              <w:pStyle w:val="NoSpacing"/>
              <w:jc w:val="both"/>
              <w:rPr>
                <w:rFonts w:ascii="Times New Roman" w:hAnsi="Times New Roman" w:cs="Times New Roman"/>
                <w:b w:val="0"/>
                <w:lang w:val="ro-MD"/>
              </w:rPr>
            </w:pPr>
            <w:r w:rsidRPr="001648D4">
              <w:rPr>
                <w:rFonts w:ascii="Times New Roman" w:eastAsia="Times New Roman" w:hAnsi="Times New Roman" w:cs="Times New Roman"/>
                <w:lang w:val="ro-RO" w:eastAsia="ru-RU"/>
              </w:rPr>
              <w:t>Redacţia propusă de</w:t>
            </w:r>
            <w:r w:rsidR="007E27F3">
              <w:rPr>
                <w:rFonts w:ascii="Times New Roman" w:eastAsia="Times New Roman" w:hAnsi="Times New Roman" w:cs="Times New Roman"/>
                <w:lang w:val="ro-RO" w:eastAsia="ru-RU"/>
              </w:rPr>
              <w:t xml:space="preserve"> insti</w:t>
            </w:r>
            <w:r w:rsidRPr="001648D4">
              <w:rPr>
                <w:rFonts w:ascii="Times New Roman" w:eastAsia="Times New Roman" w:hAnsi="Times New Roman" w:cs="Times New Roman"/>
                <w:lang w:val="ro-RO" w:eastAsia="ru-RU"/>
              </w:rPr>
              <w:t>tuţia care a prezentat avizul</w:t>
            </w:r>
          </w:p>
        </w:tc>
        <w:tc>
          <w:tcPr>
            <w:cnfStyle w:val="000100000000" w:firstRow="0" w:lastRow="0" w:firstColumn="0" w:lastColumn="1" w:oddVBand="0" w:evenVBand="0" w:oddHBand="0" w:evenHBand="0" w:firstRowFirstColumn="0" w:firstRowLastColumn="0" w:lastRowFirstColumn="0" w:lastRowLastColumn="0"/>
            <w:tcW w:w="1060" w:type="pct"/>
            <w:tcBorders>
              <w:bottom w:val="single" w:sz="4" w:space="0" w:color="auto"/>
            </w:tcBorders>
            <w:vAlign w:val="center"/>
          </w:tcPr>
          <w:p w14:paraId="659589A8" w14:textId="0A0C1C94" w:rsidR="00D549BA" w:rsidRPr="001648D4" w:rsidRDefault="00D549BA" w:rsidP="00BB1A04">
            <w:pPr>
              <w:rPr>
                <w:b w:val="0"/>
                <w:sz w:val="22"/>
                <w:szCs w:val="22"/>
                <w:lang w:val="en-GB"/>
              </w:rPr>
            </w:pPr>
            <w:r w:rsidRPr="001648D4">
              <w:rPr>
                <w:sz w:val="22"/>
                <w:szCs w:val="22"/>
                <w:lang w:val="ro-RO"/>
              </w:rPr>
              <w:t>Argumentele privind acceptarea sau respingerea propunerii</w:t>
            </w:r>
          </w:p>
        </w:tc>
      </w:tr>
      <w:tr w:rsidR="0002544C" w:rsidRPr="007B4B28" w14:paraId="2A8F7C46" w14:textId="77777777" w:rsidTr="00714F77">
        <w:trPr>
          <w:trHeight w:val="1511"/>
        </w:trPr>
        <w:tc>
          <w:tcPr>
            <w:tcW w:w="339" w:type="pct"/>
          </w:tcPr>
          <w:p w14:paraId="0152636E" w14:textId="60C88332" w:rsidR="0002544C" w:rsidRPr="007B4B28" w:rsidRDefault="004E759C" w:rsidP="00BB1A04">
            <w:pPr>
              <w:rPr>
                <w:sz w:val="22"/>
                <w:szCs w:val="22"/>
                <w:lang w:val="ro-RO"/>
              </w:rPr>
            </w:pPr>
            <w:r w:rsidRPr="007B4B28">
              <w:rPr>
                <w:sz w:val="22"/>
                <w:szCs w:val="22"/>
                <w:lang w:val="ro-RO"/>
              </w:rPr>
              <w:t>Titlu I, Secţiunea 2</w:t>
            </w:r>
          </w:p>
        </w:tc>
        <w:tc>
          <w:tcPr>
            <w:tcW w:w="536" w:type="pct"/>
          </w:tcPr>
          <w:p w14:paraId="50BD3067" w14:textId="20C028F4" w:rsidR="0002544C" w:rsidRPr="007B4B28" w:rsidRDefault="009716FC" w:rsidP="00BB1A04">
            <w:pPr>
              <w:rPr>
                <w:sz w:val="22"/>
                <w:szCs w:val="22"/>
                <w:lang w:val="ro-MD"/>
              </w:rPr>
            </w:pPr>
            <w:r w:rsidRPr="007B4B28">
              <w:rPr>
                <w:sz w:val="22"/>
                <w:szCs w:val="22"/>
                <w:lang w:val="en-GB"/>
              </w:rPr>
              <w:t>SA “Moldovagaz”</w:t>
            </w:r>
          </w:p>
        </w:tc>
        <w:tc>
          <w:tcPr>
            <w:tcW w:w="1528" w:type="pct"/>
          </w:tcPr>
          <w:p w14:paraId="04F6B72A" w14:textId="2764B718" w:rsidR="0002544C" w:rsidRPr="007B4B28" w:rsidRDefault="0077611E" w:rsidP="00714F77">
            <w:pPr>
              <w:jc w:val="both"/>
              <w:rPr>
                <w:lang w:val="ro-MD"/>
              </w:rPr>
            </w:pPr>
            <w:r w:rsidRPr="007B4B28">
              <w:rPr>
                <w:b/>
                <w:bCs/>
                <w:sz w:val="22"/>
                <w:szCs w:val="22"/>
                <w:lang w:val="ro-MD"/>
              </w:rPr>
              <w:t>acțiune de echilibrare</w:t>
            </w:r>
            <w:r w:rsidRPr="007B4B28">
              <w:rPr>
                <w:bCs/>
                <w:sz w:val="22"/>
                <w:szCs w:val="22"/>
                <w:lang w:val="ro-MD"/>
              </w:rPr>
              <w:t xml:space="preserve"> – acțiune întreprinsă de OST în vederea schimbării fluxurilor de gaze intrate în rețeaua de transport sau ieșite din aceasta, cu excepția acțiunilor legate de gazele naturale care nu figurează ca fiind ieșite din sistem și gazele naturale utilizate de OST pentru exploatarea sistemului;</w:t>
            </w:r>
          </w:p>
        </w:tc>
        <w:tc>
          <w:tcPr>
            <w:tcW w:w="1537" w:type="pct"/>
          </w:tcPr>
          <w:p w14:paraId="5693F2F8" w14:textId="16AEC433" w:rsidR="0002544C" w:rsidRPr="007B4B28" w:rsidRDefault="00142C5C" w:rsidP="00BB1A04">
            <w:pPr>
              <w:pStyle w:val="NoSpacing"/>
              <w:tabs>
                <w:tab w:val="left" w:pos="0"/>
                <w:tab w:val="left" w:pos="709"/>
              </w:tabs>
              <w:jc w:val="both"/>
              <w:rPr>
                <w:rFonts w:ascii="Times New Roman" w:hAnsi="Times New Roman" w:cs="Times New Roman"/>
                <w:lang w:val="en-GB"/>
              </w:rPr>
            </w:pPr>
            <w:r w:rsidRPr="007B4B28">
              <w:rPr>
                <w:rFonts w:ascii="Times New Roman" w:hAnsi="Times New Roman" w:cs="Times New Roman"/>
                <w:lang w:val="ro-RO"/>
              </w:rPr>
              <w:t>la noțiunea „acțiune de echilibrare” cuvântul „</w:t>
            </w:r>
            <w:r w:rsidRPr="007B4B28">
              <w:rPr>
                <w:rFonts w:ascii="Times New Roman" w:hAnsi="Times New Roman" w:cs="Times New Roman"/>
                <w:i/>
                <w:lang w:val="ro-RO"/>
              </w:rPr>
              <w:t>ieșite</w:t>
            </w:r>
            <w:r w:rsidRPr="007B4B28">
              <w:rPr>
                <w:rFonts w:ascii="Times New Roman" w:hAnsi="Times New Roman" w:cs="Times New Roman"/>
                <w:lang w:val="ro-RO"/>
              </w:rPr>
              <w:t xml:space="preserve">” după textul „ca fiind” </w:t>
            </w:r>
            <w:r w:rsidR="00D355DA" w:rsidRPr="007B4B28">
              <w:rPr>
                <w:rFonts w:ascii="Times New Roman" w:hAnsi="Times New Roman" w:cs="Times New Roman"/>
                <w:lang w:val="ro-RO"/>
              </w:rPr>
              <w:t>de</w:t>
            </w:r>
            <w:r w:rsidRPr="007B4B28">
              <w:rPr>
                <w:rFonts w:ascii="Times New Roman" w:hAnsi="Times New Roman" w:cs="Times New Roman"/>
                <w:lang w:val="ro-RO"/>
              </w:rPr>
              <w:t xml:space="preserve"> substitui</w:t>
            </w:r>
            <w:r w:rsidR="00D355DA" w:rsidRPr="007B4B28">
              <w:rPr>
                <w:rFonts w:ascii="Times New Roman" w:hAnsi="Times New Roman" w:cs="Times New Roman"/>
                <w:lang w:val="ro-RO"/>
              </w:rPr>
              <w:t>t</w:t>
            </w:r>
            <w:r w:rsidRPr="007B4B28">
              <w:rPr>
                <w:rFonts w:ascii="Times New Roman" w:hAnsi="Times New Roman" w:cs="Times New Roman"/>
                <w:lang w:val="ro-RO"/>
              </w:rPr>
              <w:t xml:space="preserve"> cu cuvântul „</w:t>
            </w:r>
            <w:r w:rsidRPr="007B4B28">
              <w:rPr>
                <w:rFonts w:ascii="Times New Roman" w:hAnsi="Times New Roman" w:cs="Times New Roman"/>
                <w:i/>
                <w:lang w:val="ro-RO"/>
              </w:rPr>
              <w:t>preluate</w:t>
            </w:r>
            <w:r w:rsidRPr="007B4B28">
              <w:rPr>
                <w:rFonts w:ascii="Times New Roman" w:hAnsi="Times New Roman" w:cs="Times New Roman"/>
                <w:lang w:val="ro-RO"/>
              </w:rPr>
              <w:t>”, în conformitate cu pct. 5</w:t>
            </w:r>
            <w:r w:rsidRPr="007B4B28">
              <w:rPr>
                <w:rFonts w:ascii="Times New Roman" w:eastAsia="Times New Roman" w:hAnsi="Times New Roman" w:cs="Times New Roman"/>
                <w:lang w:val="ro-RO" w:eastAsia="ro-RO"/>
              </w:rPr>
              <w:t xml:space="preserve"> al Codului rețelelor de gaze naturale, aprobat prin Hotărârea Consiliului de Administrație al ANRE nr. 420/2019 din 22.11.2019 (în continuare - Cod)</w:t>
            </w:r>
            <w:r w:rsidRPr="007B4B28">
              <w:rPr>
                <w:rFonts w:ascii="Times New Roman" w:hAnsi="Times New Roman" w:cs="Times New Roman"/>
                <w:lang w:val="ro-RO"/>
              </w:rPr>
              <w:t>;</w:t>
            </w:r>
          </w:p>
        </w:tc>
        <w:tc>
          <w:tcPr>
            <w:cnfStyle w:val="000100000000" w:firstRow="0" w:lastRow="0" w:firstColumn="0" w:lastColumn="1" w:oddVBand="0" w:evenVBand="0" w:oddHBand="0" w:evenHBand="0" w:firstRowFirstColumn="0" w:firstRowLastColumn="0" w:lastRowFirstColumn="0" w:lastRowLastColumn="0"/>
            <w:tcW w:w="1060" w:type="pct"/>
          </w:tcPr>
          <w:p w14:paraId="2B83573C" w14:textId="77777777" w:rsidR="001208EF" w:rsidRDefault="001208EF" w:rsidP="00BB1A04">
            <w:pPr>
              <w:jc w:val="both"/>
              <w:rPr>
                <w:sz w:val="22"/>
                <w:szCs w:val="22"/>
                <w:lang w:val="ro-MD"/>
              </w:rPr>
            </w:pPr>
          </w:p>
          <w:p w14:paraId="04DCED7D" w14:textId="143760A5" w:rsidR="0002544C" w:rsidRPr="007B4B28" w:rsidRDefault="00EC0377" w:rsidP="00BB1A04">
            <w:pPr>
              <w:jc w:val="both"/>
              <w:rPr>
                <w:sz w:val="22"/>
                <w:szCs w:val="22"/>
                <w:lang w:val="ro-MD"/>
              </w:rPr>
            </w:pPr>
            <w:r>
              <w:rPr>
                <w:sz w:val="22"/>
                <w:szCs w:val="22"/>
                <w:lang w:val="ro-MD"/>
              </w:rPr>
              <w:t>Se acceptă</w:t>
            </w:r>
          </w:p>
        </w:tc>
      </w:tr>
      <w:tr w:rsidR="00142C5C" w:rsidRPr="007B4B28" w14:paraId="19D5D8E3" w14:textId="77777777" w:rsidTr="001648D4">
        <w:trPr>
          <w:trHeight w:val="70"/>
        </w:trPr>
        <w:tc>
          <w:tcPr>
            <w:tcW w:w="339" w:type="pct"/>
          </w:tcPr>
          <w:p w14:paraId="67EE459D" w14:textId="77777777" w:rsidR="00142C5C" w:rsidRPr="007B4B28" w:rsidRDefault="00142C5C" w:rsidP="00BB1A04">
            <w:pPr>
              <w:rPr>
                <w:sz w:val="22"/>
                <w:szCs w:val="22"/>
                <w:lang w:val="ro-RO"/>
              </w:rPr>
            </w:pPr>
          </w:p>
        </w:tc>
        <w:tc>
          <w:tcPr>
            <w:tcW w:w="536" w:type="pct"/>
          </w:tcPr>
          <w:p w14:paraId="3AF17938" w14:textId="73989558" w:rsidR="00142C5C" w:rsidRPr="007B4B28" w:rsidRDefault="001648D4" w:rsidP="00335651">
            <w:pPr>
              <w:rPr>
                <w:sz w:val="22"/>
                <w:szCs w:val="22"/>
                <w:lang w:val="en-GB"/>
              </w:rPr>
            </w:pPr>
            <w:r w:rsidRPr="007B4B28">
              <w:rPr>
                <w:sz w:val="22"/>
                <w:szCs w:val="22"/>
                <w:lang w:val="en-GB"/>
              </w:rPr>
              <w:t>SA “Moldovagaz”</w:t>
            </w:r>
          </w:p>
        </w:tc>
        <w:tc>
          <w:tcPr>
            <w:tcW w:w="1528" w:type="pct"/>
          </w:tcPr>
          <w:p w14:paraId="5CC4235F" w14:textId="7352A844" w:rsidR="00142C5C" w:rsidRPr="007B4B28" w:rsidRDefault="0077611E" w:rsidP="008A3E25">
            <w:pPr>
              <w:pStyle w:val="NormalWeb"/>
              <w:tabs>
                <w:tab w:val="left" w:pos="851"/>
              </w:tabs>
              <w:ind w:firstLine="0"/>
              <w:rPr>
                <w:bCs/>
                <w:color w:val="000000"/>
                <w:sz w:val="22"/>
                <w:szCs w:val="22"/>
                <w:lang w:val="ro-MD"/>
              </w:rPr>
            </w:pPr>
            <w:r w:rsidRPr="007B4B28">
              <w:rPr>
                <w:b/>
                <w:bCs/>
                <w:sz w:val="22"/>
                <w:szCs w:val="22"/>
                <w:lang w:val="ro-MD"/>
              </w:rPr>
              <w:t>alocare</w:t>
            </w:r>
            <w:r w:rsidRPr="007B4B28">
              <w:rPr>
                <w:bCs/>
                <w:sz w:val="22"/>
                <w:szCs w:val="22"/>
                <w:lang w:val="ro-MD"/>
              </w:rPr>
              <w:t xml:space="preserve"> - cantitatea de gaze naturale atribuită unui utilizator de sistem de un OST, sub formă de intrare sau ieșire exprimată în kWh, în scopul stabilirii cantității de dezechilibru zilnic;</w:t>
            </w:r>
          </w:p>
        </w:tc>
        <w:tc>
          <w:tcPr>
            <w:tcW w:w="1537" w:type="pct"/>
          </w:tcPr>
          <w:p w14:paraId="6B8DDF08" w14:textId="427ED4D7" w:rsidR="00142C5C" w:rsidRPr="007B4B28" w:rsidRDefault="00142C5C" w:rsidP="00C45E6F">
            <w:pPr>
              <w:pStyle w:val="NoSpacing"/>
              <w:tabs>
                <w:tab w:val="left" w:pos="0"/>
                <w:tab w:val="left" w:pos="709"/>
              </w:tabs>
              <w:jc w:val="both"/>
              <w:rPr>
                <w:rFonts w:ascii="Times New Roman" w:hAnsi="Times New Roman" w:cs="Times New Roman"/>
                <w:lang w:val="ro-RO"/>
              </w:rPr>
            </w:pPr>
            <w:r w:rsidRPr="007B4B28">
              <w:rPr>
                <w:rFonts w:ascii="Times New Roman" w:hAnsi="Times New Roman" w:cs="Times New Roman"/>
                <w:lang w:val="ro-RO"/>
              </w:rPr>
              <w:t xml:space="preserve">noțiunile „alocare”, „cantitatea confirmată” și „ciclu de renominalizare” </w:t>
            </w:r>
            <w:r w:rsidR="00D355DA" w:rsidRPr="007B4B28">
              <w:rPr>
                <w:rFonts w:ascii="Times New Roman" w:hAnsi="Times New Roman" w:cs="Times New Roman"/>
                <w:lang w:val="ro-RO"/>
              </w:rPr>
              <w:t>de exclus</w:t>
            </w:r>
            <w:r w:rsidRPr="007B4B28">
              <w:rPr>
                <w:rFonts w:ascii="Times New Roman" w:hAnsi="Times New Roman" w:cs="Times New Roman"/>
                <w:lang w:val="ro-RO"/>
              </w:rPr>
              <w:t>, întrucât au fost definite și dublează prevederile Codului</w:t>
            </w:r>
            <w:r w:rsidRPr="007B4B28">
              <w:rPr>
                <w:rFonts w:ascii="Times New Roman" w:eastAsia="Times New Roman" w:hAnsi="Times New Roman" w:cs="Times New Roman"/>
                <w:lang w:val="ro-RO" w:eastAsia="ro-RO"/>
              </w:rPr>
              <w:t>;</w:t>
            </w:r>
          </w:p>
        </w:tc>
        <w:tc>
          <w:tcPr>
            <w:cnfStyle w:val="000100000000" w:firstRow="0" w:lastRow="0" w:firstColumn="0" w:lastColumn="1" w:oddVBand="0" w:evenVBand="0" w:oddHBand="0" w:evenHBand="0" w:firstRowFirstColumn="0" w:firstRowLastColumn="0" w:lastRowFirstColumn="0" w:lastRowLastColumn="0"/>
            <w:tcW w:w="1060" w:type="pct"/>
          </w:tcPr>
          <w:p w14:paraId="437A892C" w14:textId="77777777" w:rsidR="001208EF" w:rsidRDefault="001208EF" w:rsidP="008E0AB4">
            <w:pPr>
              <w:jc w:val="both"/>
              <w:rPr>
                <w:sz w:val="22"/>
                <w:szCs w:val="22"/>
                <w:lang w:val="ro-MD"/>
              </w:rPr>
            </w:pPr>
          </w:p>
          <w:p w14:paraId="3CB228D9" w14:textId="7ED4C445" w:rsidR="00142C5C" w:rsidRPr="007B4B28" w:rsidRDefault="00EC0377" w:rsidP="00395552">
            <w:pPr>
              <w:jc w:val="both"/>
              <w:rPr>
                <w:sz w:val="22"/>
                <w:szCs w:val="22"/>
                <w:lang w:val="ro-MD"/>
              </w:rPr>
            </w:pPr>
            <w:r>
              <w:rPr>
                <w:sz w:val="22"/>
                <w:szCs w:val="22"/>
                <w:lang w:val="ro-MD"/>
              </w:rPr>
              <w:t>Se</w:t>
            </w:r>
            <w:r w:rsidR="007E27F3">
              <w:rPr>
                <w:sz w:val="22"/>
                <w:szCs w:val="22"/>
                <w:lang w:val="ro-MD"/>
              </w:rPr>
              <w:t xml:space="preserve">  a</w:t>
            </w:r>
            <w:r>
              <w:rPr>
                <w:sz w:val="22"/>
                <w:szCs w:val="22"/>
                <w:lang w:val="ro-MD"/>
              </w:rPr>
              <w:t>cceptă</w:t>
            </w:r>
          </w:p>
        </w:tc>
      </w:tr>
      <w:tr w:rsidR="00142C5C" w:rsidRPr="007B4B28" w14:paraId="6314C096" w14:textId="77777777" w:rsidTr="001648D4">
        <w:trPr>
          <w:trHeight w:val="70"/>
        </w:trPr>
        <w:tc>
          <w:tcPr>
            <w:tcW w:w="339" w:type="pct"/>
          </w:tcPr>
          <w:p w14:paraId="66BF40D9" w14:textId="77777777" w:rsidR="00142C5C" w:rsidRPr="007B4B28" w:rsidRDefault="00142C5C" w:rsidP="00BB1A04">
            <w:pPr>
              <w:rPr>
                <w:sz w:val="22"/>
                <w:szCs w:val="22"/>
                <w:lang w:val="ro-RO"/>
              </w:rPr>
            </w:pPr>
          </w:p>
        </w:tc>
        <w:tc>
          <w:tcPr>
            <w:tcW w:w="536" w:type="pct"/>
          </w:tcPr>
          <w:p w14:paraId="5227AB8F" w14:textId="591E074A" w:rsidR="00142C5C" w:rsidRPr="007B4B28" w:rsidRDefault="001648D4" w:rsidP="00BB1A04">
            <w:pPr>
              <w:rPr>
                <w:sz w:val="22"/>
                <w:szCs w:val="22"/>
                <w:lang w:val="en-GB"/>
              </w:rPr>
            </w:pPr>
            <w:r w:rsidRPr="007B4B28">
              <w:rPr>
                <w:sz w:val="22"/>
                <w:szCs w:val="22"/>
                <w:lang w:val="en-GB"/>
              </w:rPr>
              <w:t>SA “Moldovagaz”</w:t>
            </w:r>
          </w:p>
        </w:tc>
        <w:tc>
          <w:tcPr>
            <w:tcW w:w="1528" w:type="pct"/>
          </w:tcPr>
          <w:p w14:paraId="579FDD2A" w14:textId="77777777" w:rsidR="0077611E" w:rsidRPr="007B4B28" w:rsidRDefault="0077611E" w:rsidP="00335651">
            <w:pPr>
              <w:tabs>
                <w:tab w:val="left" w:pos="567"/>
              </w:tabs>
              <w:rPr>
                <w:sz w:val="22"/>
                <w:szCs w:val="22"/>
                <w:lang w:val="ro-RO"/>
              </w:rPr>
            </w:pPr>
            <w:r w:rsidRPr="007B4B28">
              <w:rPr>
                <w:b/>
                <w:sz w:val="22"/>
                <w:szCs w:val="22"/>
                <w:lang w:val="ro-RO"/>
              </w:rPr>
              <w:t>măsurare zilnică</w:t>
            </w:r>
            <w:r w:rsidRPr="007B4B28">
              <w:rPr>
                <w:sz w:val="22"/>
                <w:szCs w:val="22"/>
                <w:lang w:val="ro-RO"/>
              </w:rPr>
              <w:t xml:space="preserve"> - debitele măsurate și colectate o dată într-o zi gazieră;</w:t>
            </w:r>
          </w:p>
          <w:p w14:paraId="56ED67E9" w14:textId="77777777" w:rsidR="00142C5C" w:rsidRPr="007B4B28" w:rsidRDefault="00142C5C" w:rsidP="008A3E25">
            <w:pPr>
              <w:pStyle w:val="NormalWeb"/>
              <w:tabs>
                <w:tab w:val="left" w:pos="851"/>
              </w:tabs>
              <w:ind w:firstLine="0"/>
              <w:rPr>
                <w:bCs/>
                <w:color w:val="000000"/>
                <w:sz w:val="22"/>
                <w:szCs w:val="22"/>
                <w:lang w:val="ro-MD"/>
              </w:rPr>
            </w:pPr>
          </w:p>
        </w:tc>
        <w:tc>
          <w:tcPr>
            <w:tcW w:w="1537" w:type="pct"/>
          </w:tcPr>
          <w:p w14:paraId="6CB8431D" w14:textId="1CF95364" w:rsidR="00142C5C" w:rsidRPr="007B4B28" w:rsidRDefault="00142C5C" w:rsidP="00714F77">
            <w:pPr>
              <w:pStyle w:val="NoSpacing"/>
              <w:tabs>
                <w:tab w:val="left" w:pos="0"/>
                <w:tab w:val="left" w:pos="709"/>
              </w:tabs>
              <w:jc w:val="both"/>
              <w:rPr>
                <w:rFonts w:ascii="Times New Roman" w:hAnsi="Times New Roman" w:cs="Times New Roman"/>
                <w:lang w:val="ro-RO"/>
              </w:rPr>
            </w:pPr>
            <w:r w:rsidRPr="007B4B28">
              <w:rPr>
                <w:rFonts w:ascii="Times New Roman" w:hAnsi="Times New Roman" w:cs="Times New Roman"/>
                <w:lang w:val="ro-RO"/>
              </w:rPr>
              <w:t>la noțiunile „măsurare zilnică” și „măsurare non-zilnică”</w:t>
            </w:r>
            <w:r w:rsidR="00BB1A04">
              <w:rPr>
                <w:rFonts w:ascii="Times New Roman" w:hAnsi="Times New Roman" w:cs="Times New Roman"/>
                <w:lang w:val="ro-RO"/>
              </w:rPr>
              <w:t xml:space="preserve">, </w:t>
            </w:r>
            <w:r w:rsidR="00BB1A04" w:rsidRPr="007B4B28">
              <w:rPr>
                <w:rFonts w:ascii="Times New Roman" w:hAnsi="Times New Roman" w:cs="Times New Roman"/>
                <w:lang w:val="ro-RO"/>
              </w:rPr>
              <w:t xml:space="preserve">„măsurare pe parcursul zilei” </w:t>
            </w:r>
            <w:r w:rsidRPr="007B4B28">
              <w:rPr>
                <w:rFonts w:ascii="Times New Roman" w:hAnsi="Times New Roman" w:cs="Times New Roman"/>
                <w:lang w:val="ro-RO"/>
              </w:rPr>
              <w:t xml:space="preserve"> cuvântul „</w:t>
            </w:r>
            <w:r w:rsidRPr="007B4B28">
              <w:rPr>
                <w:rFonts w:ascii="Times New Roman" w:hAnsi="Times New Roman" w:cs="Times New Roman"/>
                <w:i/>
                <w:lang w:val="ro-RO"/>
              </w:rPr>
              <w:t>debitele</w:t>
            </w:r>
            <w:r w:rsidRPr="007B4B28">
              <w:rPr>
                <w:rFonts w:ascii="Times New Roman" w:hAnsi="Times New Roman" w:cs="Times New Roman"/>
                <w:lang w:val="ro-RO"/>
              </w:rPr>
              <w:t xml:space="preserve">” </w:t>
            </w:r>
            <w:r w:rsidR="00D355DA" w:rsidRPr="007B4B28">
              <w:rPr>
                <w:rFonts w:ascii="Times New Roman" w:hAnsi="Times New Roman" w:cs="Times New Roman"/>
                <w:lang w:val="ro-RO"/>
              </w:rPr>
              <w:t>de</w:t>
            </w:r>
            <w:r w:rsidRPr="007B4B28">
              <w:rPr>
                <w:rFonts w:ascii="Times New Roman" w:hAnsi="Times New Roman" w:cs="Times New Roman"/>
                <w:lang w:val="ro-RO"/>
              </w:rPr>
              <w:t xml:space="preserve"> substitui</w:t>
            </w:r>
            <w:r w:rsidR="00D355DA" w:rsidRPr="007B4B28">
              <w:rPr>
                <w:rFonts w:ascii="Times New Roman" w:hAnsi="Times New Roman" w:cs="Times New Roman"/>
                <w:lang w:val="ro-RO"/>
              </w:rPr>
              <w:t>t</w:t>
            </w:r>
            <w:r w:rsidRPr="007B4B28">
              <w:rPr>
                <w:rFonts w:ascii="Times New Roman" w:hAnsi="Times New Roman" w:cs="Times New Roman"/>
                <w:lang w:val="ro-RO"/>
              </w:rPr>
              <w:t xml:space="preserve"> cu textul „</w:t>
            </w:r>
            <w:r w:rsidRPr="007B4B28">
              <w:rPr>
                <w:rFonts w:ascii="Times New Roman" w:hAnsi="Times New Roman" w:cs="Times New Roman"/>
                <w:i/>
                <w:lang w:val="ro-RO"/>
              </w:rPr>
              <w:t>cantitatea de gaze naturale</w:t>
            </w:r>
            <w:r w:rsidRPr="007B4B28">
              <w:rPr>
                <w:rFonts w:ascii="Times New Roman" w:hAnsi="Times New Roman" w:cs="Times New Roman"/>
                <w:lang w:val="ro-RO"/>
              </w:rPr>
              <w:t xml:space="preserve">”, în conformitate cu Tabelul de concordanță la prezentul proiect și Regulamentul </w:t>
            </w:r>
            <w:r w:rsidRPr="007B4B28">
              <w:rPr>
                <w:rFonts w:ascii="Times New Roman" w:hAnsi="Times New Roman" w:cs="Times New Roman"/>
                <w:lang w:val="en-US"/>
              </w:rPr>
              <w:t xml:space="preserve">(CE) nr. 312/2014 al </w:t>
            </w:r>
            <w:r w:rsidRPr="007B4B28">
              <w:rPr>
                <w:rFonts w:ascii="Times New Roman" w:hAnsi="Times New Roman" w:cs="Times New Roman"/>
                <w:lang w:val="ro-RO"/>
              </w:rPr>
              <w:t>Comisiei</w:t>
            </w:r>
            <w:r w:rsidRPr="007B4B28">
              <w:rPr>
                <w:rFonts w:ascii="Times New Roman" w:hAnsi="Times New Roman" w:cs="Times New Roman"/>
                <w:lang w:val="en-US"/>
              </w:rPr>
              <w:t xml:space="preserve"> </w:t>
            </w:r>
            <w:r w:rsidRPr="007B4B28">
              <w:rPr>
                <w:rFonts w:ascii="Times New Roman" w:hAnsi="Times New Roman" w:cs="Times New Roman"/>
                <w:lang w:val="en-GB"/>
              </w:rPr>
              <w:t xml:space="preserve">din 26.03.2014 </w:t>
            </w:r>
            <w:r w:rsidRPr="007B4B28">
              <w:rPr>
                <w:rFonts w:ascii="Times New Roman" w:hAnsi="Times New Roman" w:cs="Times New Roman"/>
                <w:lang w:val="ro-RO"/>
              </w:rPr>
              <w:t>de stabilire a unui cod de rețea privind echilibrarea rețelelor de transport de gaz (în continuare - Regulament UE nr. 312/2014);</w:t>
            </w:r>
          </w:p>
        </w:tc>
        <w:tc>
          <w:tcPr>
            <w:cnfStyle w:val="000100000000" w:firstRow="0" w:lastRow="0" w:firstColumn="0" w:lastColumn="1" w:oddVBand="0" w:evenVBand="0" w:oddHBand="0" w:evenHBand="0" w:firstRowFirstColumn="0" w:firstRowLastColumn="0" w:lastRowFirstColumn="0" w:lastRowLastColumn="0"/>
            <w:tcW w:w="1060" w:type="pct"/>
          </w:tcPr>
          <w:p w14:paraId="2769C6D3" w14:textId="77777777" w:rsidR="001208EF" w:rsidRDefault="001208EF" w:rsidP="00BB1A04">
            <w:pPr>
              <w:jc w:val="both"/>
              <w:rPr>
                <w:sz w:val="22"/>
                <w:szCs w:val="22"/>
                <w:lang w:val="ro-MD"/>
              </w:rPr>
            </w:pPr>
          </w:p>
          <w:p w14:paraId="73F397D5" w14:textId="383369AC" w:rsidR="00142C5C" w:rsidRPr="007B4B28" w:rsidRDefault="00EC0377" w:rsidP="00335651">
            <w:pPr>
              <w:jc w:val="both"/>
              <w:rPr>
                <w:sz w:val="22"/>
                <w:szCs w:val="22"/>
                <w:lang w:val="ro-MD"/>
              </w:rPr>
            </w:pPr>
            <w:r>
              <w:rPr>
                <w:sz w:val="22"/>
                <w:szCs w:val="22"/>
                <w:lang w:val="ro-MD"/>
              </w:rPr>
              <w:t>Se acceptă</w:t>
            </w:r>
          </w:p>
        </w:tc>
      </w:tr>
      <w:tr w:rsidR="00142C5C" w:rsidRPr="00BB1A04" w14:paraId="717768C2" w14:textId="77777777" w:rsidTr="001648D4">
        <w:trPr>
          <w:trHeight w:val="70"/>
        </w:trPr>
        <w:tc>
          <w:tcPr>
            <w:tcW w:w="339" w:type="pct"/>
          </w:tcPr>
          <w:p w14:paraId="09CE0C18" w14:textId="77777777" w:rsidR="00142C5C" w:rsidRPr="007B4B28" w:rsidRDefault="00142C5C" w:rsidP="00BB1A04">
            <w:pPr>
              <w:rPr>
                <w:sz w:val="22"/>
                <w:szCs w:val="22"/>
                <w:lang w:val="ro-RO"/>
              </w:rPr>
            </w:pPr>
          </w:p>
        </w:tc>
        <w:tc>
          <w:tcPr>
            <w:tcW w:w="536" w:type="pct"/>
          </w:tcPr>
          <w:p w14:paraId="40B2B336" w14:textId="22E43220" w:rsidR="00142C5C" w:rsidRPr="007B4B28" w:rsidRDefault="001648D4" w:rsidP="00BB1A04">
            <w:pPr>
              <w:rPr>
                <w:sz w:val="22"/>
                <w:szCs w:val="22"/>
                <w:lang w:val="en-GB"/>
              </w:rPr>
            </w:pPr>
            <w:r w:rsidRPr="007B4B28">
              <w:rPr>
                <w:sz w:val="22"/>
                <w:szCs w:val="22"/>
                <w:lang w:val="en-GB"/>
              </w:rPr>
              <w:t>SA “Moldovagaz”</w:t>
            </w:r>
          </w:p>
        </w:tc>
        <w:tc>
          <w:tcPr>
            <w:tcW w:w="1528" w:type="pct"/>
          </w:tcPr>
          <w:p w14:paraId="5CDBDA4F" w14:textId="77777777" w:rsidR="0077611E" w:rsidRPr="007B4B28" w:rsidRDefault="0077611E" w:rsidP="00BB1A04">
            <w:pPr>
              <w:tabs>
                <w:tab w:val="left" w:pos="567"/>
              </w:tabs>
              <w:rPr>
                <w:sz w:val="22"/>
                <w:szCs w:val="22"/>
                <w:lang w:val="ro-RO"/>
              </w:rPr>
            </w:pPr>
            <w:r w:rsidRPr="007B4B28">
              <w:rPr>
                <w:b/>
                <w:sz w:val="22"/>
                <w:szCs w:val="22"/>
                <w:lang w:val="ro-RO"/>
              </w:rPr>
              <w:t xml:space="preserve">taxa de dezechilibru zilnic </w:t>
            </w:r>
            <w:r w:rsidRPr="007B4B28">
              <w:rPr>
                <w:sz w:val="22"/>
                <w:szCs w:val="22"/>
                <w:lang w:val="ro-RO"/>
              </w:rPr>
              <w:t>- suma pe care o PRE o va plăti sau o va primi pentru cantitatea de dezechilibru zilnic;</w:t>
            </w:r>
          </w:p>
          <w:p w14:paraId="2291E4D4" w14:textId="77777777" w:rsidR="00142C5C" w:rsidRPr="007B4B28" w:rsidRDefault="00142C5C" w:rsidP="00335651">
            <w:pPr>
              <w:pStyle w:val="NormalWeb"/>
              <w:tabs>
                <w:tab w:val="left" w:pos="851"/>
              </w:tabs>
              <w:ind w:firstLine="0"/>
              <w:rPr>
                <w:bCs/>
                <w:color w:val="000000"/>
                <w:sz w:val="22"/>
                <w:szCs w:val="22"/>
                <w:lang w:val="ro-MD"/>
              </w:rPr>
            </w:pPr>
          </w:p>
        </w:tc>
        <w:tc>
          <w:tcPr>
            <w:tcW w:w="1537" w:type="pct"/>
          </w:tcPr>
          <w:p w14:paraId="6F234732" w14:textId="77777777" w:rsidR="00142C5C" w:rsidRPr="007B4B28" w:rsidRDefault="00142C5C" w:rsidP="008A3E25">
            <w:pPr>
              <w:pStyle w:val="NoSpacing"/>
              <w:tabs>
                <w:tab w:val="left" w:pos="0"/>
                <w:tab w:val="left" w:pos="709"/>
              </w:tabs>
              <w:jc w:val="both"/>
              <w:rPr>
                <w:rFonts w:ascii="Times New Roman" w:hAnsi="Times New Roman" w:cs="Times New Roman"/>
                <w:lang w:val="ro-RO"/>
              </w:rPr>
            </w:pPr>
            <w:r w:rsidRPr="007B4B28">
              <w:rPr>
                <w:rFonts w:ascii="Times New Roman" w:hAnsi="Times New Roman" w:cs="Times New Roman"/>
                <w:lang w:val="ro-RO"/>
              </w:rPr>
              <w:t>la noțiunea „taxa de dezechilibru zilnic”:</w:t>
            </w:r>
          </w:p>
          <w:p w14:paraId="376F2EFE" w14:textId="74623BE5" w:rsidR="00142C5C" w:rsidRPr="007B4B28" w:rsidRDefault="00142C5C" w:rsidP="00C45E6F">
            <w:pPr>
              <w:pStyle w:val="NoSpacing"/>
              <w:tabs>
                <w:tab w:val="left" w:pos="0"/>
                <w:tab w:val="left" w:pos="1134"/>
              </w:tabs>
              <w:jc w:val="both"/>
              <w:rPr>
                <w:rFonts w:ascii="Times New Roman" w:eastAsia="Times New Roman" w:hAnsi="Times New Roman" w:cs="Times New Roman"/>
                <w:lang w:val="ro-RO" w:eastAsia="ro-RO"/>
              </w:rPr>
            </w:pPr>
            <w:r w:rsidRPr="007B4B28">
              <w:rPr>
                <w:rFonts w:ascii="Times New Roman" w:hAnsi="Times New Roman" w:cs="Times New Roman"/>
                <w:lang w:val="ro-RO"/>
              </w:rPr>
              <w:t>sintagma „</w:t>
            </w:r>
            <w:r w:rsidRPr="007B4B28">
              <w:rPr>
                <w:rFonts w:ascii="Times New Roman" w:hAnsi="Times New Roman" w:cs="Times New Roman"/>
                <w:i/>
                <w:lang w:val="ro-RO"/>
              </w:rPr>
              <w:t>taxa de</w:t>
            </w:r>
            <w:r w:rsidRPr="007B4B28">
              <w:rPr>
                <w:rFonts w:ascii="Times New Roman" w:hAnsi="Times New Roman" w:cs="Times New Roman"/>
                <w:lang w:val="ro-RO"/>
              </w:rPr>
              <w:t xml:space="preserve">” </w:t>
            </w:r>
            <w:r w:rsidR="00D355DA" w:rsidRPr="007B4B28">
              <w:rPr>
                <w:rFonts w:ascii="Times New Roman" w:hAnsi="Times New Roman" w:cs="Times New Roman"/>
                <w:lang w:val="ro-RO"/>
              </w:rPr>
              <w:t xml:space="preserve">de </w:t>
            </w:r>
            <w:r w:rsidRPr="007B4B28">
              <w:rPr>
                <w:rFonts w:ascii="Times New Roman" w:hAnsi="Times New Roman" w:cs="Times New Roman"/>
                <w:lang w:val="ro-RO"/>
              </w:rPr>
              <w:t>substitui</w:t>
            </w:r>
            <w:r w:rsidR="00D355DA" w:rsidRPr="007B4B28">
              <w:rPr>
                <w:rFonts w:ascii="Times New Roman" w:hAnsi="Times New Roman" w:cs="Times New Roman"/>
                <w:lang w:val="ro-RO"/>
              </w:rPr>
              <w:t>t</w:t>
            </w:r>
            <w:r w:rsidRPr="007B4B28">
              <w:rPr>
                <w:rFonts w:ascii="Times New Roman" w:hAnsi="Times New Roman" w:cs="Times New Roman"/>
                <w:lang w:val="ro-RO"/>
              </w:rPr>
              <w:t xml:space="preserve"> cu sintagma „</w:t>
            </w:r>
            <w:r w:rsidRPr="007B4B28">
              <w:rPr>
                <w:rFonts w:ascii="Times New Roman" w:hAnsi="Times New Roman" w:cs="Times New Roman"/>
                <w:i/>
                <w:lang w:val="ro-RO"/>
              </w:rPr>
              <w:t>plata pentru</w:t>
            </w:r>
            <w:r w:rsidRPr="007B4B28">
              <w:rPr>
                <w:rFonts w:ascii="Times New Roman" w:hAnsi="Times New Roman" w:cs="Times New Roman"/>
                <w:lang w:val="ro-RO"/>
              </w:rPr>
              <w:t xml:space="preserve">”, în conformitate cu pct. 153, 160 din Regulile pieței gazelor naturale, aprobate </w:t>
            </w:r>
            <w:r w:rsidRPr="007B4B28">
              <w:rPr>
                <w:rFonts w:ascii="Times New Roman" w:eastAsia="Times New Roman" w:hAnsi="Times New Roman" w:cs="Times New Roman"/>
                <w:lang w:val="ro-RO" w:eastAsia="ro-RO"/>
              </w:rPr>
              <w:t>prin Hotărârea Consiliului de Administrație al ANRE nr. 534/2019 din 22.11.2019 (în continuare – Reguli) și pct. 433</w:t>
            </w:r>
            <w:r w:rsidRPr="007B4B28">
              <w:rPr>
                <w:rFonts w:ascii="Times New Roman" w:eastAsia="Times New Roman" w:hAnsi="Times New Roman" w:cs="Times New Roman"/>
                <w:vertAlign w:val="superscript"/>
                <w:lang w:val="ro-RO" w:eastAsia="ro-RO"/>
              </w:rPr>
              <w:t>73</w:t>
            </w:r>
            <w:r w:rsidRPr="007B4B28">
              <w:rPr>
                <w:rFonts w:ascii="Times New Roman" w:eastAsia="Times New Roman" w:hAnsi="Times New Roman" w:cs="Times New Roman"/>
                <w:lang w:val="ro-RO" w:eastAsia="ro-RO"/>
              </w:rPr>
              <w:t xml:space="preserve"> al prezentului proiect</w:t>
            </w:r>
            <w:r w:rsidR="00335651">
              <w:rPr>
                <w:rFonts w:ascii="Times New Roman" w:eastAsia="Times New Roman" w:hAnsi="Times New Roman" w:cs="Times New Roman"/>
                <w:lang w:val="ro-RO" w:eastAsia="ro-RO"/>
              </w:rPr>
              <w:t>;</w:t>
            </w:r>
          </w:p>
          <w:p w14:paraId="5204540F" w14:textId="7B4AB649" w:rsidR="00142C5C" w:rsidRPr="00335651" w:rsidRDefault="00142C5C" w:rsidP="00714F77">
            <w:pPr>
              <w:pStyle w:val="NoSpacing"/>
              <w:tabs>
                <w:tab w:val="left" w:pos="0"/>
                <w:tab w:val="left" w:pos="1134"/>
              </w:tabs>
              <w:jc w:val="both"/>
              <w:rPr>
                <w:rFonts w:ascii="Times New Roman" w:eastAsia="Times New Roman" w:hAnsi="Times New Roman" w:cs="Times New Roman"/>
                <w:lang w:val="ro-RO" w:eastAsia="ro-RO"/>
              </w:rPr>
            </w:pPr>
            <w:r w:rsidRPr="007B4B28">
              <w:rPr>
                <w:rFonts w:ascii="Times New Roman" w:eastAsia="Times New Roman" w:hAnsi="Times New Roman" w:cs="Times New Roman"/>
                <w:lang w:val="ro-RO" w:eastAsia="ro-RO"/>
              </w:rPr>
              <w:t>sintagma „</w:t>
            </w:r>
            <w:r w:rsidRPr="007B4B28">
              <w:rPr>
                <w:rFonts w:ascii="Times New Roman" w:eastAsia="Times New Roman" w:hAnsi="Times New Roman" w:cs="Times New Roman"/>
                <w:i/>
                <w:lang w:val="ro-RO" w:eastAsia="ro-RO"/>
              </w:rPr>
              <w:t>o PRE</w:t>
            </w:r>
            <w:r w:rsidRPr="007B4B28">
              <w:rPr>
                <w:rFonts w:ascii="Times New Roman" w:eastAsia="Times New Roman" w:hAnsi="Times New Roman" w:cs="Times New Roman"/>
                <w:lang w:val="ro-RO" w:eastAsia="ro-RO"/>
              </w:rPr>
              <w:t xml:space="preserve">” </w:t>
            </w:r>
            <w:r w:rsidR="00D355DA" w:rsidRPr="007B4B28">
              <w:rPr>
                <w:rFonts w:ascii="Times New Roman" w:eastAsia="Times New Roman" w:hAnsi="Times New Roman" w:cs="Times New Roman"/>
                <w:lang w:val="ro-RO" w:eastAsia="ro-RO"/>
              </w:rPr>
              <w:t>de</w:t>
            </w:r>
            <w:r w:rsidRPr="007B4B28">
              <w:rPr>
                <w:rFonts w:ascii="Times New Roman" w:eastAsia="Times New Roman" w:hAnsi="Times New Roman" w:cs="Times New Roman"/>
                <w:lang w:val="ro-RO" w:eastAsia="ro-RO"/>
              </w:rPr>
              <w:t xml:space="preserve"> substitui</w:t>
            </w:r>
            <w:r w:rsidR="00D355DA" w:rsidRPr="007B4B28">
              <w:rPr>
                <w:rFonts w:ascii="Times New Roman" w:eastAsia="Times New Roman" w:hAnsi="Times New Roman" w:cs="Times New Roman"/>
                <w:lang w:val="ro-RO" w:eastAsia="ro-RO"/>
              </w:rPr>
              <w:t xml:space="preserve">t </w:t>
            </w:r>
            <w:r w:rsidRPr="007B4B28">
              <w:rPr>
                <w:rFonts w:ascii="Times New Roman" w:eastAsia="Times New Roman" w:hAnsi="Times New Roman" w:cs="Times New Roman"/>
                <w:lang w:val="ro-RO" w:eastAsia="ro-RO"/>
              </w:rPr>
              <w:t>cu textul „</w:t>
            </w:r>
            <w:r w:rsidRPr="007B4B28">
              <w:rPr>
                <w:rFonts w:ascii="Times New Roman" w:eastAsia="Times New Roman" w:hAnsi="Times New Roman" w:cs="Times New Roman"/>
                <w:i/>
                <w:lang w:val="ro-RO" w:eastAsia="ro-RO"/>
              </w:rPr>
              <w:t>o parte responsabilă de echilibrare</w:t>
            </w:r>
            <w:r w:rsidRPr="007B4B28">
              <w:rPr>
                <w:rFonts w:ascii="Times New Roman" w:eastAsia="Times New Roman" w:hAnsi="Times New Roman" w:cs="Times New Roman"/>
                <w:lang w:val="ro-RO" w:eastAsia="ro-RO"/>
              </w:rPr>
              <w:t>”</w:t>
            </w:r>
            <w:r w:rsidR="00335651">
              <w:rPr>
                <w:rFonts w:ascii="Times New Roman" w:eastAsia="Times New Roman" w:hAnsi="Times New Roman" w:cs="Times New Roman"/>
                <w:lang w:val="ro-RO" w:eastAsia="ro-RO"/>
              </w:rPr>
              <w:t>.</w:t>
            </w:r>
          </w:p>
        </w:tc>
        <w:tc>
          <w:tcPr>
            <w:cnfStyle w:val="000100000000" w:firstRow="0" w:lastRow="0" w:firstColumn="0" w:lastColumn="1" w:oddVBand="0" w:evenVBand="0" w:oddHBand="0" w:evenHBand="0" w:firstRowFirstColumn="0" w:firstRowLastColumn="0" w:lastRowFirstColumn="0" w:lastRowLastColumn="0"/>
            <w:tcW w:w="1060" w:type="pct"/>
          </w:tcPr>
          <w:p w14:paraId="21F85BCB" w14:textId="77777777" w:rsidR="001208EF" w:rsidRDefault="001208EF" w:rsidP="00335651">
            <w:pPr>
              <w:jc w:val="both"/>
              <w:rPr>
                <w:sz w:val="22"/>
                <w:szCs w:val="22"/>
                <w:lang w:val="ro-MD"/>
              </w:rPr>
            </w:pPr>
          </w:p>
          <w:p w14:paraId="659E896B" w14:textId="54497AC9" w:rsidR="00142C5C" w:rsidRDefault="00EC0377" w:rsidP="008A3E25">
            <w:pPr>
              <w:jc w:val="both"/>
              <w:rPr>
                <w:sz w:val="22"/>
                <w:szCs w:val="22"/>
                <w:lang w:val="ro-MD"/>
              </w:rPr>
            </w:pPr>
            <w:r>
              <w:rPr>
                <w:sz w:val="22"/>
                <w:szCs w:val="22"/>
                <w:lang w:val="ro-MD"/>
              </w:rPr>
              <w:t>Se acceptă</w:t>
            </w:r>
          </w:p>
          <w:p w14:paraId="3DE5A781" w14:textId="77777777" w:rsidR="002D3873" w:rsidRDefault="002D3873" w:rsidP="00C45E6F">
            <w:pPr>
              <w:jc w:val="both"/>
              <w:rPr>
                <w:sz w:val="22"/>
                <w:szCs w:val="22"/>
                <w:lang w:val="ro-MD"/>
              </w:rPr>
            </w:pPr>
          </w:p>
          <w:p w14:paraId="6F146351" w14:textId="77777777" w:rsidR="002D3873" w:rsidRDefault="002D3873" w:rsidP="008E0AB4">
            <w:pPr>
              <w:jc w:val="both"/>
              <w:rPr>
                <w:sz w:val="22"/>
                <w:szCs w:val="22"/>
                <w:lang w:val="ro-MD"/>
              </w:rPr>
            </w:pPr>
          </w:p>
          <w:p w14:paraId="5F9CA1E6" w14:textId="77777777" w:rsidR="002D3873" w:rsidRDefault="002D3873" w:rsidP="00395552">
            <w:pPr>
              <w:jc w:val="both"/>
              <w:rPr>
                <w:sz w:val="22"/>
                <w:szCs w:val="22"/>
                <w:lang w:val="ro-MD"/>
              </w:rPr>
            </w:pPr>
          </w:p>
          <w:p w14:paraId="78374CD9" w14:textId="77777777" w:rsidR="002D3873" w:rsidRDefault="002D3873" w:rsidP="00EF13E1">
            <w:pPr>
              <w:jc w:val="both"/>
              <w:rPr>
                <w:sz w:val="22"/>
                <w:szCs w:val="22"/>
                <w:lang w:val="ro-MD"/>
              </w:rPr>
            </w:pPr>
          </w:p>
          <w:p w14:paraId="692D421E" w14:textId="77777777" w:rsidR="002D3873" w:rsidRDefault="002D3873" w:rsidP="00FD1806">
            <w:pPr>
              <w:jc w:val="both"/>
              <w:rPr>
                <w:sz w:val="22"/>
                <w:szCs w:val="22"/>
                <w:lang w:val="ro-MD"/>
              </w:rPr>
            </w:pPr>
          </w:p>
          <w:p w14:paraId="3375FEF1" w14:textId="77777777" w:rsidR="002D3873" w:rsidRDefault="002D3873" w:rsidP="00245F6F">
            <w:pPr>
              <w:jc w:val="both"/>
              <w:rPr>
                <w:sz w:val="22"/>
                <w:szCs w:val="22"/>
                <w:lang w:val="ro-MD"/>
              </w:rPr>
            </w:pPr>
          </w:p>
          <w:p w14:paraId="7C91F9FC" w14:textId="77777777" w:rsidR="002D3873" w:rsidRDefault="002D3873" w:rsidP="00E80DB2">
            <w:pPr>
              <w:jc w:val="both"/>
              <w:rPr>
                <w:sz w:val="22"/>
                <w:szCs w:val="22"/>
                <w:lang w:val="ro-MD"/>
              </w:rPr>
            </w:pPr>
          </w:p>
          <w:p w14:paraId="0B19A263" w14:textId="5BECAB48" w:rsidR="002D3873" w:rsidRPr="007B4B28" w:rsidRDefault="002D3873" w:rsidP="00575BB2">
            <w:pPr>
              <w:jc w:val="both"/>
              <w:rPr>
                <w:sz w:val="22"/>
                <w:szCs w:val="22"/>
                <w:lang w:val="ro-MD"/>
              </w:rPr>
            </w:pPr>
          </w:p>
        </w:tc>
      </w:tr>
      <w:tr w:rsidR="00142C5C" w:rsidRPr="007B4B28" w14:paraId="4BB0E4DF" w14:textId="77777777" w:rsidTr="001648D4">
        <w:trPr>
          <w:trHeight w:val="70"/>
        </w:trPr>
        <w:tc>
          <w:tcPr>
            <w:tcW w:w="339" w:type="pct"/>
          </w:tcPr>
          <w:p w14:paraId="5C6F6A0D" w14:textId="77777777" w:rsidR="00142C5C" w:rsidRPr="007B4B28" w:rsidRDefault="00142C5C" w:rsidP="00BB1A04">
            <w:pPr>
              <w:rPr>
                <w:sz w:val="22"/>
                <w:szCs w:val="22"/>
                <w:lang w:val="ro-RO"/>
              </w:rPr>
            </w:pPr>
          </w:p>
        </w:tc>
        <w:tc>
          <w:tcPr>
            <w:tcW w:w="536" w:type="pct"/>
          </w:tcPr>
          <w:p w14:paraId="394459A7" w14:textId="34175B80" w:rsidR="00142C5C" w:rsidRPr="007B4B28" w:rsidRDefault="001648D4" w:rsidP="00BB1A04">
            <w:pPr>
              <w:rPr>
                <w:sz w:val="22"/>
                <w:szCs w:val="22"/>
                <w:lang w:val="en-GB"/>
              </w:rPr>
            </w:pPr>
            <w:r w:rsidRPr="007B4B28">
              <w:rPr>
                <w:sz w:val="22"/>
                <w:szCs w:val="22"/>
                <w:lang w:val="en-GB"/>
              </w:rPr>
              <w:t>SA “Moldovagaz”</w:t>
            </w:r>
          </w:p>
        </w:tc>
        <w:tc>
          <w:tcPr>
            <w:tcW w:w="1528" w:type="pct"/>
          </w:tcPr>
          <w:p w14:paraId="0E3028D9" w14:textId="6BEED8DC" w:rsidR="00142C5C" w:rsidRPr="00E933DD" w:rsidRDefault="0077611E" w:rsidP="00E933DD">
            <w:pPr>
              <w:rPr>
                <w:bCs/>
                <w:sz w:val="22"/>
                <w:szCs w:val="22"/>
                <w:lang w:val="ro-MD"/>
              </w:rPr>
            </w:pPr>
            <w:r w:rsidRPr="007B4B28">
              <w:rPr>
                <w:b/>
                <w:bCs/>
                <w:sz w:val="22"/>
                <w:szCs w:val="22"/>
                <w:lang w:val="ro-MD"/>
              </w:rPr>
              <w:t xml:space="preserve">taxa de neutralitate </w:t>
            </w:r>
            <w:r w:rsidRPr="007B4B28">
              <w:rPr>
                <w:bCs/>
                <w:sz w:val="22"/>
                <w:szCs w:val="22"/>
                <w:lang w:val="ro-MD"/>
              </w:rPr>
              <w:t>– taxa echivalentă cu diferența dintre sumele primite sau de primit și sumele plătite sau de plătit de către OST ca urmare a derulării activităților sale de echilibrare, care se plătește sau care se poate recupera de la utilizatorii de sistem;</w:t>
            </w:r>
          </w:p>
        </w:tc>
        <w:tc>
          <w:tcPr>
            <w:tcW w:w="1537" w:type="pct"/>
          </w:tcPr>
          <w:p w14:paraId="0B5914B2" w14:textId="2A53BD56" w:rsidR="000658D2" w:rsidRPr="007B4B28" w:rsidRDefault="000658D2" w:rsidP="00BB1A04">
            <w:pPr>
              <w:pStyle w:val="NoSpacing"/>
              <w:tabs>
                <w:tab w:val="left" w:pos="0"/>
                <w:tab w:val="left" w:pos="709"/>
              </w:tabs>
              <w:jc w:val="both"/>
              <w:rPr>
                <w:rFonts w:ascii="Times New Roman" w:eastAsia="Times New Roman" w:hAnsi="Times New Roman" w:cs="Times New Roman"/>
                <w:lang w:val="ro-RO" w:eastAsia="ro-RO"/>
              </w:rPr>
            </w:pPr>
            <w:r w:rsidRPr="007B4B28">
              <w:rPr>
                <w:rFonts w:ascii="Times New Roman" w:eastAsia="Times New Roman" w:hAnsi="Times New Roman" w:cs="Times New Roman"/>
                <w:lang w:val="ro-RO" w:eastAsia="ro-RO"/>
              </w:rPr>
              <w:t>la noțiunea „taxa de neutralitate” sintagma „</w:t>
            </w:r>
            <w:r w:rsidRPr="007B4B28">
              <w:rPr>
                <w:rFonts w:ascii="Times New Roman" w:eastAsia="Times New Roman" w:hAnsi="Times New Roman" w:cs="Times New Roman"/>
                <w:i/>
                <w:lang w:val="ro-RO" w:eastAsia="ro-RO"/>
              </w:rPr>
              <w:t>taxa de</w:t>
            </w:r>
            <w:r w:rsidRPr="007B4B28">
              <w:rPr>
                <w:rFonts w:ascii="Times New Roman" w:eastAsia="Times New Roman" w:hAnsi="Times New Roman" w:cs="Times New Roman"/>
                <w:lang w:val="ro-RO" w:eastAsia="ro-RO"/>
              </w:rPr>
              <w:t xml:space="preserve">” </w:t>
            </w:r>
            <w:r w:rsidR="00D355DA" w:rsidRPr="007B4B28">
              <w:rPr>
                <w:rFonts w:ascii="Times New Roman" w:eastAsia="Times New Roman" w:hAnsi="Times New Roman" w:cs="Times New Roman"/>
                <w:lang w:val="ro-RO" w:eastAsia="ro-RO"/>
              </w:rPr>
              <w:t>de</w:t>
            </w:r>
            <w:r w:rsidRPr="007B4B28">
              <w:rPr>
                <w:rFonts w:ascii="Times New Roman" w:eastAsia="Times New Roman" w:hAnsi="Times New Roman" w:cs="Times New Roman"/>
                <w:lang w:val="ro-RO" w:eastAsia="ro-RO"/>
              </w:rPr>
              <w:t xml:space="preserve"> substitui</w:t>
            </w:r>
            <w:r w:rsidR="00D355DA" w:rsidRPr="007B4B28">
              <w:rPr>
                <w:rFonts w:ascii="Times New Roman" w:eastAsia="Times New Roman" w:hAnsi="Times New Roman" w:cs="Times New Roman"/>
                <w:lang w:val="ro-RO" w:eastAsia="ro-RO"/>
              </w:rPr>
              <w:t>t</w:t>
            </w:r>
            <w:r w:rsidRPr="007B4B28">
              <w:rPr>
                <w:rFonts w:ascii="Times New Roman" w:eastAsia="Times New Roman" w:hAnsi="Times New Roman" w:cs="Times New Roman"/>
                <w:lang w:val="ro-RO" w:eastAsia="ro-RO"/>
              </w:rPr>
              <w:t xml:space="preserve"> cu sintagma „</w:t>
            </w:r>
            <w:r w:rsidRPr="007B4B28">
              <w:rPr>
                <w:rFonts w:ascii="Times New Roman" w:eastAsia="Times New Roman" w:hAnsi="Times New Roman" w:cs="Times New Roman"/>
                <w:i/>
                <w:lang w:val="ro-RO" w:eastAsia="ro-RO"/>
              </w:rPr>
              <w:t>plata pentru</w:t>
            </w:r>
            <w:r w:rsidRPr="007B4B28">
              <w:rPr>
                <w:rFonts w:ascii="Times New Roman" w:eastAsia="Times New Roman" w:hAnsi="Times New Roman" w:cs="Times New Roman"/>
                <w:lang w:val="ro-RO" w:eastAsia="ro-RO"/>
              </w:rPr>
              <w:t xml:space="preserve">”, </w:t>
            </w:r>
            <w:r w:rsidRPr="007B4B28">
              <w:rPr>
                <w:rFonts w:ascii="Times New Roman" w:hAnsi="Times New Roman" w:cs="Times New Roman"/>
                <w:lang w:val="ro-RO"/>
              </w:rPr>
              <w:t xml:space="preserve">în conformitate cu pct. 76, 160 din Reguli </w:t>
            </w:r>
            <w:r w:rsidRPr="007B4B28">
              <w:rPr>
                <w:rFonts w:ascii="Times New Roman" w:eastAsia="Times New Roman" w:hAnsi="Times New Roman" w:cs="Times New Roman"/>
                <w:lang w:val="ro-RO" w:eastAsia="ro-RO"/>
              </w:rPr>
              <w:t>și pct. 433</w:t>
            </w:r>
            <w:r w:rsidRPr="007B4B28">
              <w:rPr>
                <w:rFonts w:ascii="Times New Roman" w:eastAsia="Times New Roman" w:hAnsi="Times New Roman" w:cs="Times New Roman"/>
                <w:vertAlign w:val="superscript"/>
                <w:lang w:val="ro-RO" w:eastAsia="ro-RO"/>
              </w:rPr>
              <w:t>109</w:t>
            </w:r>
            <w:r w:rsidRPr="007B4B28">
              <w:rPr>
                <w:rFonts w:ascii="Times New Roman" w:eastAsia="Times New Roman" w:hAnsi="Times New Roman" w:cs="Times New Roman"/>
                <w:lang w:val="ro-RO" w:eastAsia="ro-RO"/>
              </w:rPr>
              <w:t xml:space="preserve"> al prezentului proiect;</w:t>
            </w:r>
          </w:p>
          <w:p w14:paraId="689BC3C1" w14:textId="77777777" w:rsidR="00142C5C" w:rsidRPr="007B4B28" w:rsidRDefault="00142C5C" w:rsidP="00BB1A04">
            <w:pPr>
              <w:pStyle w:val="NoSpacing"/>
              <w:tabs>
                <w:tab w:val="left" w:pos="0"/>
                <w:tab w:val="left" w:pos="709"/>
              </w:tabs>
              <w:ind w:firstLine="567"/>
              <w:jc w:val="both"/>
              <w:rPr>
                <w:rFonts w:ascii="Times New Roman" w:hAnsi="Times New Roman" w:cs="Times New Roman"/>
                <w:lang w:val="ro-RO"/>
              </w:rPr>
            </w:pPr>
          </w:p>
        </w:tc>
        <w:tc>
          <w:tcPr>
            <w:cnfStyle w:val="000100000000" w:firstRow="0" w:lastRow="0" w:firstColumn="0" w:lastColumn="1" w:oddVBand="0" w:evenVBand="0" w:oddHBand="0" w:evenHBand="0" w:firstRowFirstColumn="0" w:firstRowLastColumn="0" w:lastRowFirstColumn="0" w:lastRowLastColumn="0"/>
            <w:tcW w:w="1060" w:type="pct"/>
          </w:tcPr>
          <w:p w14:paraId="24CE5A2A" w14:textId="77777777" w:rsidR="001208EF" w:rsidRDefault="001208EF" w:rsidP="00335651">
            <w:pPr>
              <w:jc w:val="both"/>
              <w:rPr>
                <w:sz w:val="22"/>
                <w:szCs w:val="22"/>
                <w:lang w:val="ro-MD"/>
              </w:rPr>
            </w:pPr>
          </w:p>
          <w:p w14:paraId="3AB1A26C" w14:textId="24E94A26" w:rsidR="00142C5C" w:rsidRPr="007B4B28" w:rsidRDefault="00EC0377" w:rsidP="008A3E25">
            <w:pPr>
              <w:jc w:val="both"/>
              <w:rPr>
                <w:sz w:val="22"/>
                <w:szCs w:val="22"/>
                <w:lang w:val="ro-MD"/>
              </w:rPr>
            </w:pPr>
            <w:r>
              <w:rPr>
                <w:sz w:val="22"/>
                <w:szCs w:val="22"/>
                <w:lang w:val="ro-MD"/>
              </w:rPr>
              <w:t>Se acceptă</w:t>
            </w:r>
          </w:p>
        </w:tc>
      </w:tr>
      <w:tr w:rsidR="000658D2" w:rsidRPr="00511A6A" w14:paraId="36C75F5C" w14:textId="77777777" w:rsidTr="001648D4">
        <w:trPr>
          <w:trHeight w:val="70"/>
        </w:trPr>
        <w:tc>
          <w:tcPr>
            <w:tcW w:w="339" w:type="pct"/>
          </w:tcPr>
          <w:p w14:paraId="0DA567A2" w14:textId="77777777" w:rsidR="000658D2" w:rsidRPr="007B4B28" w:rsidRDefault="000658D2" w:rsidP="00BB1A04">
            <w:pPr>
              <w:rPr>
                <w:sz w:val="22"/>
                <w:szCs w:val="22"/>
                <w:lang w:val="ro-RO"/>
              </w:rPr>
            </w:pPr>
          </w:p>
        </w:tc>
        <w:tc>
          <w:tcPr>
            <w:tcW w:w="536" w:type="pct"/>
          </w:tcPr>
          <w:p w14:paraId="1D857703" w14:textId="38E844F2" w:rsidR="000658D2" w:rsidRPr="007B4B28" w:rsidRDefault="001648D4" w:rsidP="00BB1A04">
            <w:pPr>
              <w:rPr>
                <w:sz w:val="22"/>
                <w:szCs w:val="22"/>
                <w:lang w:val="en-GB"/>
              </w:rPr>
            </w:pPr>
            <w:r w:rsidRPr="007B4B28">
              <w:rPr>
                <w:sz w:val="22"/>
                <w:szCs w:val="22"/>
                <w:lang w:val="en-GB"/>
              </w:rPr>
              <w:t>SA “Moldovagaz”</w:t>
            </w:r>
          </w:p>
        </w:tc>
        <w:tc>
          <w:tcPr>
            <w:tcW w:w="1528" w:type="pct"/>
          </w:tcPr>
          <w:p w14:paraId="026B4236" w14:textId="2BC98B89" w:rsidR="0077611E" w:rsidRPr="007B4B28" w:rsidRDefault="0077611E" w:rsidP="00714F77">
            <w:pPr>
              <w:rPr>
                <w:bCs/>
                <w:sz w:val="22"/>
                <w:szCs w:val="22"/>
                <w:lang w:val="ro-MD"/>
              </w:rPr>
            </w:pPr>
            <w:r w:rsidRPr="007B4B28">
              <w:rPr>
                <w:b/>
                <w:bCs/>
                <w:sz w:val="22"/>
                <w:szCs w:val="22"/>
                <w:lang w:val="ro-MD"/>
              </w:rPr>
              <w:t>varianta 1</w:t>
            </w:r>
            <w:r w:rsidRPr="007B4B28">
              <w:rPr>
                <w:bCs/>
                <w:sz w:val="22"/>
                <w:szCs w:val="22"/>
                <w:lang w:val="ro-MD"/>
              </w:rPr>
              <w:t xml:space="preserve"> – model de furnizare de informații conform căruia informațiile privind ieșirile cu măsurare zilnică și nonzilnică se bazează pe repartizarea fluxurilor cu măsurare pe parcursul zilei;</w:t>
            </w:r>
          </w:p>
          <w:p w14:paraId="24337AAB" w14:textId="19DEF321" w:rsidR="000658D2" w:rsidRPr="00D3180C" w:rsidRDefault="0077611E" w:rsidP="00D3180C">
            <w:pPr>
              <w:rPr>
                <w:bCs/>
                <w:sz w:val="22"/>
                <w:szCs w:val="22"/>
                <w:lang w:val="ro-MD"/>
              </w:rPr>
            </w:pPr>
            <w:r w:rsidRPr="007B4B28">
              <w:rPr>
                <w:b/>
                <w:bCs/>
                <w:sz w:val="22"/>
                <w:szCs w:val="22"/>
                <w:lang w:val="ro-MD"/>
              </w:rPr>
              <w:t>varianta 2</w:t>
            </w:r>
            <w:r w:rsidRPr="007B4B28">
              <w:rPr>
                <w:bCs/>
                <w:sz w:val="22"/>
                <w:szCs w:val="22"/>
                <w:lang w:val="ro-MD"/>
              </w:rPr>
              <w:t xml:space="preserve"> – model de furnizare de informații conform căruia informațiile privind ieșirile cu măsurare nonzilnică constituie prognoza pentru ziua următoare;</w:t>
            </w:r>
          </w:p>
        </w:tc>
        <w:tc>
          <w:tcPr>
            <w:tcW w:w="1537" w:type="pct"/>
          </w:tcPr>
          <w:p w14:paraId="49DC57CC" w14:textId="6747520D" w:rsidR="000658D2" w:rsidRPr="007B4B28" w:rsidRDefault="000658D2" w:rsidP="00BB1A04">
            <w:pPr>
              <w:pStyle w:val="NoSpacing"/>
              <w:tabs>
                <w:tab w:val="left" w:pos="0"/>
                <w:tab w:val="left" w:pos="709"/>
              </w:tabs>
              <w:jc w:val="both"/>
              <w:rPr>
                <w:rFonts w:ascii="Times New Roman" w:eastAsia="Times New Roman" w:hAnsi="Times New Roman" w:cs="Times New Roman"/>
                <w:lang w:val="ro-RO" w:eastAsia="ro-RO"/>
              </w:rPr>
            </w:pPr>
            <w:r w:rsidRPr="007B4B28">
              <w:rPr>
                <w:rFonts w:ascii="Times New Roman" w:eastAsia="Times New Roman" w:hAnsi="Times New Roman" w:cs="Times New Roman"/>
                <w:lang w:val="ro-RO" w:eastAsia="ro-RO"/>
              </w:rPr>
              <w:t>la noțiunile „varianta 1” și „varianta 2” cuvântul „</w:t>
            </w:r>
            <w:r w:rsidRPr="007B4B28">
              <w:rPr>
                <w:rFonts w:ascii="Times New Roman" w:eastAsia="Times New Roman" w:hAnsi="Times New Roman" w:cs="Times New Roman"/>
                <w:i/>
                <w:lang w:val="ro-RO" w:eastAsia="ro-RO"/>
              </w:rPr>
              <w:t>ieșirile</w:t>
            </w:r>
            <w:r w:rsidR="00D355DA" w:rsidRPr="007B4B28">
              <w:rPr>
                <w:rFonts w:ascii="Times New Roman" w:eastAsia="Times New Roman" w:hAnsi="Times New Roman" w:cs="Times New Roman"/>
                <w:lang w:val="ro-RO" w:eastAsia="ro-RO"/>
              </w:rPr>
              <w:t>” de</w:t>
            </w:r>
            <w:r w:rsidRPr="007B4B28">
              <w:rPr>
                <w:rFonts w:ascii="Times New Roman" w:eastAsia="Times New Roman" w:hAnsi="Times New Roman" w:cs="Times New Roman"/>
                <w:lang w:val="ro-RO" w:eastAsia="ro-RO"/>
              </w:rPr>
              <w:t xml:space="preserve"> substitui</w:t>
            </w:r>
            <w:r w:rsidR="00D355DA" w:rsidRPr="007B4B28">
              <w:rPr>
                <w:rFonts w:ascii="Times New Roman" w:eastAsia="Times New Roman" w:hAnsi="Times New Roman" w:cs="Times New Roman"/>
                <w:lang w:val="ro-RO" w:eastAsia="ro-RO"/>
              </w:rPr>
              <w:t>t</w:t>
            </w:r>
            <w:r w:rsidRPr="007B4B28">
              <w:rPr>
                <w:rFonts w:ascii="Times New Roman" w:eastAsia="Times New Roman" w:hAnsi="Times New Roman" w:cs="Times New Roman"/>
                <w:lang w:val="ro-RO" w:eastAsia="ro-RO"/>
              </w:rPr>
              <w:t xml:space="preserve"> cu cuvântul „</w:t>
            </w:r>
            <w:r w:rsidRPr="007B4B28">
              <w:rPr>
                <w:rFonts w:ascii="Times New Roman" w:eastAsia="Times New Roman" w:hAnsi="Times New Roman" w:cs="Times New Roman"/>
                <w:i/>
                <w:lang w:val="ro-RO" w:eastAsia="ro-RO"/>
              </w:rPr>
              <w:t>consumul</w:t>
            </w:r>
            <w:r w:rsidRPr="007B4B28">
              <w:rPr>
                <w:rFonts w:ascii="Times New Roman" w:eastAsia="Times New Roman" w:hAnsi="Times New Roman" w:cs="Times New Roman"/>
                <w:lang w:val="ro-RO" w:eastAsia="ro-RO"/>
              </w:rPr>
              <w:t>”, în conformitate cu pct. 112 din Reguli;</w:t>
            </w:r>
          </w:p>
          <w:p w14:paraId="65F5BE05" w14:textId="77777777" w:rsidR="000658D2" w:rsidRPr="007B4B28" w:rsidRDefault="000658D2" w:rsidP="00BB1A04">
            <w:pPr>
              <w:pStyle w:val="NoSpacing"/>
              <w:tabs>
                <w:tab w:val="left" w:pos="0"/>
                <w:tab w:val="left" w:pos="709"/>
              </w:tabs>
              <w:ind w:left="567"/>
              <w:jc w:val="both"/>
              <w:rPr>
                <w:rFonts w:ascii="Times New Roman" w:eastAsia="Times New Roman" w:hAnsi="Times New Roman" w:cs="Times New Roman"/>
                <w:lang w:val="ro-RO" w:eastAsia="ro-RO"/>
              </w:rPr>
            </w:pPr>
          </w:p>
        </w:tc>
        <w:tc>
          <w:tcPr>
            <w:cnfStyle w:val="000100000000" w:firstRow="0" w:lastRow="0" w:firstColumn="0" w:lastColumn="1" w:oddVBand="0" w:evenVBand="0" w:oddHBand="0" w:evenHBand="0" w:firstRowFirstColumn="0" w:firstRowLastColumn="0" w:lastRowFirstColumn="0" w:lastRowLastColumn="0"/>
            <w:tcW w:w="1060" w:type="pct"/>
          </w:tcPr>
          <w:p w14:paraId="1F87C619" w14:textId="60649342" w:rsidR="000658D2" w:rsidRPr="007B4B28" w:rsidRDefault="00F7355B" w:rsidP="008A3E25">
            <w:pPr>
              <w:jc w:val="both"/>
              <w:rPr>
                <w:sz w:val="22"/>
                <w:szCs w:val="22"/>
                <w:lang w:val="ro-MD"/>
              </w:rPr>
            </w:pPr>
            <w:r>
              <w:rPr>
                <w:sz w:val="22"/>
                <w:szCs w:val="22"/>
                <w:lang w:val="ro-MD"/>
              </w:rPr>
              <w:t xml:space="preserve">Nu se acceptă, </w:t>
            </w:r>
            <w:r w:rsidR="00C30D92">
              <w:rPr>
                <w:b w:val="0"/>
                <w:sz w:val="22"/>
                <w:szCs w:val="22"/>
                <w:lang w:val="ro-MD"/>
              </w:rPr>
              <w:t>utilizarea termeni</w:t>
            </w:r>
            <w:r w:rsidRPr="00F7355B">
              <w:rPr>
                <w:b w:val="0"/>
                <w:sz w:val="22"/>
                <w:szCs w:val="22"/>
                <w:lang w:val="ro-MD"/>
              </w:rPr>
              <w:t xml:space="preserve">lor de </w:t>
            </w:r>
            <w:r>
              <w:rPr>
                <w:b w:val="0"/>
                <w:sz w:val="22"/>
                <w:szCs w:val="22"/>
                <w:lang w:val="ro-MD"/>
              </w:rPr>
              <w:t>„intrare”/„</w:t>
            </w:r>
            <w:r w:rsidRPr="00F7355B">
              <w:rPr>
                <w:b w:val="0"/>
                <w:sz w:val="22"/>
                <w:szCs w:val="22"/>
                <w:lang w:val="ro-MD"/>
              </w:rPr>
              <w:t>ieșire</w:t>
            </w:r>
            <w:r>
              <w:rPr>
                <w:b w:val="0"/>
                <w:sz w:val="22"/>
                <w:szCs w:val="22"/>
                <w:lang w:val="ro-MD"/>
              </w:rPr>
              <w:t>”</w:t>
            </w:r>
            <w:r w:rsidRPr="00F7355B">
              <w:rPr>
                <w:b w:val="0"/>
                <w:sz w:val="22"/>
                <w:szCs w:val="22"/>
                <w:lang w:val="ro-MD"/>
              </w:rPr>
              <w:t xml:space="preserve"> </w:t>
            </w:r>
            <w:r>
              <w:rPr>
                <w:b w:val="0"/>
                <w:sz w:val="22"/>
                <w:szCs w:val="22"/>
                <w:lang w:val="ro-MD"/>
              </w:rPr>
              <w:t>din zona de echilibrare s</w:t>
            </w:r>
            <w:r w:rsidRPr="00F7355B">
              <w:rPr>
                <w:b w:val="0"/>
                <w:sz w:val="22"/>
                <w:szCs w:val="22"/>
                <w:lang w:val="ro-MD"/>
              </w:rPr>
              <w:t>corespunde Regulilor pieței.</w:t>
            </w:r>
            <w:r>
              <w:rPr>
                <w:sz w:val="22"/>
                <w:szCs w:val="22"/>
                <w:lang w:val="ro-MD"/>
              </w:rPr>
              <w:t xml:space="preserve"> </w:t>
            </w:r>
          </w:p>
        </w:tc>
      </w:tr>
      <w:tr w:rsidR="00142C5C" w:rsidRPr="00511A6A" w14:paraId="7DC49C73" w14:textId="77777777" w:rsidTr="001648D4">
        <w:trPr>
          <w:trHeight w:val="70"/>
        </w:trPr>
        <w:tc>
          <w:tcPr>
            <w:tcW w:w="339" w:type="pct"/>
          </w:tcPr>
          <w:p w14:paraId="1C9B046C" w14:textId="77777777" w:rsidR="00142C5C" w:rsidRPr="007B4B28" w:rsidRDefault="00142C5C" w:rsidP="00BB1A04">
            <w:pPr>
              <w:rPr>
                <w:sz w:val="22"/>
                <w:szCs w:val="22"/>
                <w:lang w:val="ro-RO"/>
              </w:rPr>
            </w:pPr>
          </w:p>
        </w:tc>
        <w:tc>
          <w:tcPr>
            <w:tcW w:w="536" w:type="pct"/>
          </w:tcPr>
          <w:p w14:paraId="020575F6" w14:textId="54EFBAA1" w:rsidR="00142C5C" w:rsidRPr="007B4B28" w:rsidRDefault="001648D4" w:rsidP="00BB1A04">
            <w:pPr>
              <w:rPr>
                <w:sz w:val="22"/>
                <w:szCs w:val="22"/>
                <w:lang w:val="en-GB"/>
              </w:rPr>
            </w:pPr>
            <w:r w:rsidRPr="007B4B28">
              <w:rPr>
                <w:sz w:val="22"/>
                <w:szCs w:val="22"/>
                <w:lang w:val="en-GB"/>
              </w:rPr>
              <w:t>SA “Moldovagaz”</w:t>
            </w:r>
          </w:p>
        </w:tc>
        <w:tc>
          <w:tcPr>
            <w:tcW w:w="1528" w:type="pct"/>
          </w:tcPr>
          <w:p w14:paraId="268AFFDD" w14:textId="1ED0511C" w:rsidR="00142C5C" w:rsidRPr="007B4B28" w:rsidRDefault="0077611E" w:rsidP="00BB1A04">
            <w:pPr>
              <w:pStyle w:val="NormalWeb"/>
              <w:tabs>
                <w:tab w:val="left" w:pos="851"/>
              </w:tabs>
              <w:ind w:firstLine="0"/>
              <w:rPr>
                <w:bCs/>
                <w:color w:val="000000"/>
                <w:sz w:val="22"/>
                <w:szCs w:val="22"/>
                <w:lang w:val="ro-MD"/>
              </w:rPr>
            </w:pPr>
            <w:r w:rsidRPr="007B4B28">
              <w:rPr>
                <w:b/>
                <w:bCs/>
                <w:sz w:val="22"/>
                <w:szCs w:val="22"/>
                <w:lang w:val="ro-MD"/>
              </w:rPr>
              <w:t>zonă de echilibrare</w:t>
            </w:r>
            <w:r w:rsidRPr="007B4B28">
              <w:rPr>
                <w:bCs/>
                <w:sz w:val="22"/>
                <w:szCs w:val="22"/>
                <w:lang w:val="ro-MD"/>
              </w:rPr>
              <w:t xml:space="preserve"> – sistem de intrare-ieșire căruia i se aplică un regim de echilibrare specific și care poate include sisteme de distribuție sau părți ale acestora;</w:t>
            </w:r>
          </w:p>
        </w:tc>
        <w:tc>
          <w:tcPr>
            <w:tcW w:w="1537" w:type="pct"/>
          </w:tcPr>
          <w:p w14:paraId="3D867C2E" w14:textId="48C03549" w:rsidR="00142C5C" w:rsidRPr="007B4B28" w:rsidRDefault="000658D2" w:rsidP="00335651">
            <w:pPr>
              <w:pStyle w:val="NoSpacing"/>
              <w:tabs>
                <w:tab w:val="left" w:pos="0"/>
                <w:tab w:val="left" w:pos="709"/>
              </w:tabs>
              <w:jc w:val="both"/>
              <w:rPr>
                <w:rFonts w:ascii="Times New Roman" w:hAnsi="Times New Roman" w:cs="Times New Roman"/>
                <w:lang w:val="ro-RO"/>
              </w:rPr>
            </w:pPr>
            <w:r w:rsidRPr="007B4B28">
              <w:rPr>
                <w:rFonts w:ascii="Times New Roman" w:eastAsia="Times New Roman" w:hAnsi="Times New Roman" w:cs="Times New Roman"/>
                <w:lang w:val="ro-RO" w:eastAsia="ro-RO"/>
              </w:rPr>
              <w:t xml:space="preserve">la noțiunea „zona de echilibrare” </w:t>
            </w:r>
            <w:r w:rsidR="00D355DA" w:rsidRPr="007B4B28">
              <w:rPr>
                <w:rFonts w:ascii="Times New Roman" w:eastAsia="Times New Roman" w:hAnsi="Times New Roman" w:cs="Times New Roman"/>
                <w:lang w:val="ro-RO" w:eastAsia="ro-RO"/>
              </w:rPr>
              <w:t xml:space="preserve">de </w:t>
            </w:r>
            <w:r w:rsidRPr="007B4B28">
              <w:rPr>
                <w:rFonts w:ascii="Times New Roman" w:hAnsi="Times New Roman" w:cs="Times New Roman"/>
                <w:lang w:val="ro-RO"/>
              </w:rPr>
              <w:t>modifica</w:t>
            </w:r>
            <w:r w:rsidR="00D355DA" w:rsidRPr="007B4B28">
              <w:rPr>
                <w:rFonts w:ascii="Times New Roman" w:hAnsi="Times New Roman" w:cs="Times New Roman"/>
                <w:lang w:val="ro-RO"/>
              </w:rPr>
              <w:t>t</w:t>
            </w:r>
            <w:r w:rsidRPr="007B4B28">
              <w:rPr>
                <w:rFonts w:ascii="Times New Roman" w:hAnsi="Times New Roman" w:cs="Times New Roman"/>
                <w:lang w:val="ro-RO"/>
              </w:rPr>
              <w:t xml:space="preserve"> textul de definire și </w:t>
            </w:r>
            <w:r w:rsidR="00D355DA" w:rsidRPr="007B4B28">
              <w:rPr>
                <w:rFonts w:ascii="Times New Roman" w:hAnsi="Times New Roman" w:cs="Times New Roman"/>
                <w:lang w:val="ro-RO"/>
              </w:rPr>
              <w:t>de expuns</w:t>
            </w:r>
            <w:r w:rsidRPr="007B4B28">
              <w:rPr>
                <w:rFonts w:ascii="Times New Roman" w:hAnsi="Times New Roman" w:cs="Times New Roman"/>
                <w:lang w:val="ro-RO"/>
              </w:rPr>
              <w:t xml:space="preserve"> în următoarea redacție  „ </w:t>
            </w:r>
            <w:r w:rsidRPr="007B4B28">
              <w:rPr>
                <w:rFonts w:ascii="Times New Roman" w:hAnsi="Times New Roman" w:cs="Times New Roman"/>
                <w:i/>
                <w:lang w:val="ro-RO"/>
              </w:rPr>
              <w:t>- </w:t>
            </w:r>
            <w:r w:rsidRPr="007B4B28">
              <w:rPr>
                <w:rFonts w:ascii="Times New Roman" w:hAnsi="Times New Roman" w:cs="Times New Roman"/>
                <w:bCs/>
                <w:i/>
                <w:lang w:val="ro-RO"/>
              </w:rPr>
              <w:t>sistem de intrare-ieșire căruia i se aplică un regim de echilibrare specific și care include sisteme de transport și de distribuție a gazelor naturale</w:t>
            </w:r>
            <w:r w:rsidRPr="007B4B28">
              <w:rPr>
                <w:rFonts w:ascii="Times New Roman" w:hAnsi="Times New Roman" w:cs="Times New Roman"/>
                <w:bCs/>
                <w:lang w:val="ro-RO"/>
              </w:rPr>
              <w:t>”, în conformitate cu pct. 22 din Reguli;</w:t>
            </w:r>
          </w:p>
        </w:tc>
        <w:tc>
          <w:tcPr>
            <w:cnfStyle w:val="000100000000" w:firstRow="0" w:lastRow="0" w:firstColumn="0" w:lastColumn="1" w:oddVBand="0" w:evenVBand="0" w:oddHBand="0" w:evenHBand="0" w:firstRowFirstColumn="0" w:firstRowLastColumn="0" w:lastRowFirstColumn="0" w:lastRowLastColumn="0"/>
            <w:tcW w:w="1060" w:type="pct"/>
          </w:tcPr>
          <w:p w14:paraId="6B56D8B6" w14:textId="7C1C9A67" w:rsidR="00142C5C" w:rsidRPr="007B4B28" w:rsidRDefault="00D3180C" w:rsidP="00C30D92">
            <w:pPr>
              <w:jc w:val="both"/>
              <w:rPr>
                <w:sz w:val="22"/>
                <w:szCs w:val="22"/>
                <w:lang w:val="ro-MD"/>
              </w:rPr>
            </w:pPr>
            <w:r>
              <w:rPr>
                <w:sz w:val="22"/>
                <w:szCs w:val="22"/>
                <w:lang w:val="ro-MD"/>
              </w:rPr>
              <w:t xml:space="preserve">Nu se acceptă, </w:t>
            </w:r>
            <w:r w:rsidRPr="00F7355B">
              <w:rPr>
                <w:b w:val="0"/>
                <w:sz w:val="22"/>
                <w:szCs w:val="22"/>
                <w:lang w:val="ro-MD"/>
              </w:rPr>
              <w:t>propunerea nu coincide cu textul Regulamentului</w:t>
            </w:r>
            <w:r w:rsidR="00C30D92">
              <w:rPr>
                <w:b w:val="0"/>
                <w:sz w:val="22"/>
                <w:szCs w:val="22"/>
                <w:lang w:val="ro-MD"/>
              </w:rPr>
              <w:t xml:space="preserve"> UE nr. </w:t>
            </w:r>
            <w:r w:rsidRPr="00F7355B">
              <w:rPr>
                <w:b w:val="0"/>
                <w:sz w:val="22"/>
                <w:szCs w:val="22"/>
                <w:lang w:val="ro-MD"/>
              </w:rPr>
              <w:t>312/</w:t>
            </w:r>
            <w:r w:rsidR="00967B8D" w:rsidRPr="00F7355B">
              <w:rPr>
                <w:b w:val="0"/>
                <w:sz w:val="22"/>
                <w:szCs w:val="22"/>
                <w:lang w:val="ro-MD"/>
              </w:rPr>
              <w:t>2014</w:t>
            </w:r>
            <w:r w:rsidR="00967B8D" w:rsidRPr="00F7355B">
              <w:rPr>
                <w:b w:val="0"/>
                <w:bCs w:val="0"/>
                <w:sz w:val="22"/>
                <w:szCs w:val="22"/>
                <w:lang w:val="ro-MD"/>
              </w:rPr>
              <w:t>.</w:t>
            </w:r>
          </w:p>
        </w:tc>
      </w:tr>
      <w:tr w:rsidR="003128C4" w:rsidRPr="00511A6A" w14:paraId="3C8306CD" w14:textId="77777777" w:rsidTr="003873FC">
        <w:trPr>
          <w:trHeight w:val="1225"/>
        </w:trPr>
        <w:tc>
          <w:tcPr>
            <w:tcW w:w="339" w:type="pct"/>
          </w:tcPr>
          <w:p w14:paraId="3B9A20DF" w14:textId="77777777" w:rsidR="003128C4" w:rsidRPr="007B4B28" w:rsidRDefault="003128C4" w:rsidP="00BB1A04">
            <w:pPr>
              <w:rPr>
                <w:sz w:val="22"/>
                <w:szCs w:val="22"/>
                <w:lang w:val="ro-RO"/>
              </w:rPr>
            </w:pPr>
          </w:p>
        </w:tc>
        <w:tc>
          <w:tcPr>
            <w:tcW w:w="536" w:type="pct"/>
          </w:tcPr>
          <w:p w14:paraId="22EBD9EA" w14:textId="40B4CEE3" w:rsidR="003128C4" w:rsidRPr="007B4B28" w:rsidRDefault="003128C4" w:rsidP="00BB1A04">
            <w:pPr>
              <w:rPr>
                <w:sz w:val="22"/>
                <w:szCs w:val="22"/>
                <w:lang w:val="en-GB"/>
              </w:rPr>
            </w:pPr>
            <w:r w:rsidRPr="007B4B28">
              <w:rPr>
                <w:sz w:val="22"/>
                <w:szCs w:val="22"/>
                <w:lang w:val="en-GB"/>
              </w:rPr>
              <w:t>SA “Moldovagaz”</w:t>
            </w:r>
          </w:p>
        </w:tc>
        <w:tc>
          <w:tcPr>
            <w:tcW w:w="3065" w:type="pct"/>
            <w:gridSpan w:val="2"/>
          </w:tcPr>
          <w:p w14:paraId="73253C22" w14:textId="77777777" w:rsidR="003873FC" w:rsidRDefault="003128C4" w:rsidP="00714F77">
            <w:pPr>
              <w:pStyle w:val="NoSpacing"/>
              <w:tabs>
                <w:tab w:val="left" w:pos="0"/>
                <w:tab w:val="left" w:pos="709"/>
              </w:tabs>
              <w:jc w:val="both"/>
              <w:rPr>
                <w:rFonts w:ascii="Times New Roman" w:hAnsi="Times New Roman"/>
                <w:lang w:val="en-GB"/>
              </w:rPr>
            </w:pPr>
            <w:r w:rsidRPr="007B4B28">
              <w:rPr>
                <w:rFonts w:ascii="Times New Roman" w:hAnsi="Times New Roman" w:cs="Times New Roman"/>
                <w:lang w:val="en-GB"/>
              </w:rPr>
              <w:t>De com</w:t>
            </w:r>
            <w:r w:rsidR="003873FC">
              <w:rPr>
                <w:rFonts w:ascii="Times New Roman" w:hAnsi="Times New Roman" w:cs="Times New Roman"/>
                <w:lang w:val="en-GB"/>
              </w:rPr>
              <w:t xml:space="preserve">pletat cu următoarele noţiuni: </w:t>
            </w:r>
          </w:p>
          <w:p w14:paraId="5A611F73" w14:textId="0810449F" w:rsidR="003873FC" w:rsidRPr="00E933DD" w:rsidRDefault="003128C4" w:rsidP="003873FC">
            <w:pPr>
              <w:pStyle w:val="NoSpacing"/>
              <w:tabs>
                <w:tab w:val="left" w:pos="0"/>
                <w:tab w:val="left" w:pos="709"/>
              </w:tabs>
              <w:jc w:val="both"/>
              <w:rPr>
                <w:rFonts w:ascii="Times New Roman" w:hAnsi="Times New Roman" w:cs="Times New Roman"/>
                <w:b/>
                <w:lang w:val="en-GB"/>
              </w:rPr>
            </w:pPr>
            <w:r w:rsidRPr="007B4B28">
              <w:rPr>
                <w:rFonts w:ascii="Times New Roman" w:hAnsi="Times New Roman" w:cs="Times New Roman"/>
                <w:bCs/>
                <w:lang w:val="ro-RO"/>
              </w:rPr>
              <w:t>„</w:t>
            </w:r>
            <w:r w:rsidRPr="00E933DD">
              <w:rPr>
                <w:rFonts w:ascii="Times New Roman" w:hAnsi="Times New Roman" w:cs="Times New Roman"/>
                <w:b/>
                <w:bCs/>
                <w:i/>
                <w:lang w:val="ro-RO"/>
              </w:rPr>
              <w:t>produs de localizare</w:t>
            </w:r>
            <w:r w:rsidRPr="00E933DD">
              <w:rPr>
                <w:rFonts w:ascii="Times New Roman" w:hAnsi="Times New Roman" w:cs="Times New Roman"/>
                <w:b/>
                <w:bCs/>
                <w:lang w:val="ro-RO"/>
              </w:rPr>
              <w:t xml:space="preserve">”, </w:t>
            </w:r>
            <w:r w:rsidRPr="00E933DD">
              <w:rPr>
                <w:rFonts w:ascii="Times New Roman" w:hAnsi="Times New Roman" w:cs="Times New Roman"/>
                <w:bCs/>
                <w:lang w:val="ro-RO"/>
              </w:rPr>
              <w:t>în conformitate cu pct. 433</w:t>
            </w:r>
            <w:r w:rsidRPr="00E933DD">
              <w:rPr>
                <w:rFonts w:ascii="Times New Roman" w:hAnsi="Times New Roman" w:cs="Times New Roman"/>
                <w:bCs/>
                <w:vertAlign w:val="superscript"/>
                <w:lang w:val="ro-RO"/>
              </w:rPr>
              <w:t>25</w:t>
            </w:r>
            <w:r w:rsidRPr="00E933DD">
              <w:rPr>
                <w:rFonts w:ascii="Times New Roman" w:hAnsi="Times New Roman" w:cs="Times New Roman"/>
                <w:bCs/>
                <w:lang w:val="ro-RO"/>
              </w:rPr>
              <w:t xml:space="preserve"> al prezentului proiect;</w:t>
            </w:r>
          </w:p>
          <w:p w14:paraId="11B8EEC5" w14:textId="357165F4" w:rsidR="003873FC" w:rsidRPr="00E933DD" w:rsidRDefault="003128C4" w:rsidP="003873FC">
            <w:pPr>
              <w:pStyle w:val="NoSpacing"/>
              <w:tabs>
                <w:tab w:val="left" w:pos="0"/>
                <w:tab w:val="left" w:pos="851"/>
                <w:tab w:val="left" w:pos="1134"/>
              </w:tabs>
              <w:jc w:val="both"/>
              <w:rPr>
                <w:rFonts w:ascii="Times New Roman" w:hAnsi="Times New Roman" w:cs="Times New Roman"/>
                <w:b/>
                <w:bCs/>
                <w:lang w:val="ro-RO"/>
              </w:rPr>
            </w:pPr>
            <w:r w:rsidRPr="00E933DD">
              <w:rPr>
                <w:rFonts w:ascii="Times New Roman" w:hAnsi="Times New Roman" w:cs="Times New Roman"/>
                <w:b/>
                <w:bCs/>
                <w:lang w:val="ro-RO"/>
              </w:rPr>
              <w:t xml:space="preserve"> „</w:t>
            </w:r>
            <w:r w:rsidRPr="00E933DD">
              <w:rPr>
                <w:rFonts w:ascii="Times New Roman" w:hAnsi="Times New Roman" w:cs="Times New Roman"/>
                <w:b/>
                <w:bCs/>
                <w:i/>
                <w:lang w:val="ro-RO"/>
              </w:rPr>
              <w:t>produs temporar</w:t>
            </w:r>
            <w:r w:rsidRPr="00E933DD">
              <w:rPr>
                <w:rFonts w:ascii="Times New Roman" w:hAnsi="Times New Roman" w:cs="Times New Roman"/>
                <w:b/>
                <w:bCs/>
                <w:lang w:val="ro-RO"/>
              </w:rPr>
              <w:t xml:space="preserve">”, </w:t>
            </w:r>
            <w:r w:rsidRPr="00E933DD">
              <w:rPr>
                <w:rFonts w:ascii="Times New Roman" w:hAnsi="Times New Roman" w:cs="Times New Roman"/>
                <w:bCs/>
                <w:lang w:val="ro-RO"/>
              </w:rPr>
              <w:t>în conformitate cu pct. 433</w:t>
            </w:r>
            <w:r w:rsidRPr="00E933DD">
              <w:rPr>
                <w:rFonts w:ascii="Times New Roman" w:hAnsi="Times New Roman" w:cs="Times New Roman"/>
                <w:bCs/>
                <w:vertAlign w:val="superscript"/>
                <w:lang w:val="ro-RO"/>
              </w:rPr>
              <w:t>26</w:t>
            </w:r>
            <w:r w:rsidRPr="00E933DD">
              <w:rPr>
                <w:rFonts w:ascii="Times New Roman" w:hAnsi="Times New Roman" w:cs="Times New Roman"/>
                <w:bCs/>
                <w:lang w:val="ro-RO"/>
              </w:rPr>
              <w:t xml:space="preserve"> al prezentului proiect;</w:t>
            </w:r>
          </w:p>
          <w:p w14:paraId="116CBE52" w14:textId="674308E4" w:rsidR="003128C4" w:rsidRPr="003873FC" w:rsidRDefault="003128C4" w:rsidP="003873FC">
            <w:pPr>
              <w:pStyle w:val="NoSpacing"/>
              <w:tabs>
                <w:tab w:val="left" w:pos="0"/>
                <w:tab w:val="left" w:pos="851"/>
                <w:tab w:val="left" w:pos="1134"/>
              </w:tabs>
              <w:jc w:val="both"/>
              <w:rPr>
                <w:rFonts w:ascii="Times New Roman" w:hAnsi="Times New Roman" w:cs="Times New Roman"/>
                <w:bCs/>
                <w:lang w:val="ro-RO"/>
              </w:rPr>
            </w:pPr>
            <w:r w:rsidRPr="003873FC">
              <w:rPr>
                <w:rFonts w:ascii="Times New Roman" w:hAnsi="Times New Roman" w:cs="Times New Roman"/>
                <w:bCs/>
                <w:lang w:val="ro-RO"/>
              </w:rPr>
              <w:t>„</w:t>
            </w:r>
            <w:r w:rsidRPr="003873FC">
              <w:rPr>
                <w:rFonts w:ascii="Times New Roman" w:hAnsi="Times New Roman" w:cs="Times New Roman"/>
                <w:bCs/>
                <w:i/>
                <w:lang w:val="ro-RO"/>
              </w:rPr>
              <w:t>produs titlu</w:t>
            </w:r>
            <w:r w:rsidRPr="003873FC">
              <w:rPr>
                <w:rFonts w:ascii="Times New Roman" w:hAnsi="Times New Roman" w:cs="Times New Roman"/>
                <w:bCs/>
                <w:lang w:val="ro-RO"/>
              </w:rPr>
              <w:t>”, în conformitate cu pct. 433</w:t>
            </w:r>
            <w:r w:rsidRPr="003873FC">
              <w:rPr>
                <w:rFonts w:ascii="Times New Roman" w:hAnsi="Times New Roman" w:cs="Times New Roman"/>
                <w:bCs/>
                <w:vertAlign w:val="superscript"/>
                <w:lang w:val="ro-RO"/>
              </w:rPr>
              <w:t>24</w:t>
            </w:r>
            <w:r w:rsidRPr="003873FC">
              <w:rPr>
                <w:rFonts w:ascii="Times New Roman" w:hAnsi="Times New Roman" w:cs="Times New Roman"/>
                <w:bCs/>
                <w:lang w:val="ro-RO"/>
              </w:rPr>
              <w:t xml:space="preserve"> al prezentului proiect;</w:t>
            </w:r>
          </w:p>
          <w:p w14:paraId="057DCA01" w14:textId="5CF29B0B" w:rsidR="003128C4" w:rsidRPr="003873FC" w:rsidRDefault="003128C4" w:rsidP="003873FC">
            <w:pPr>
              <w:pStyle w:val="NoSpacing"/>
              <w:tabs>
                <w:tab w:val="left" w:pos="0"/>
                <w:tab w:val="left" w:pos="851"/>
                <w:tab w:val="left" w:pos="1134"/>
              </w:tabs>
              <w:jc w:val="both"/>
              <w:rPr>
                <w:rFonts w:ascii="Times New Roman" w:hAnsi="Times New Roman" w:cs="Times New Roman"/>
                <w:bCs/>
                <w:lang w:val="ro-RO"/>
              </w:rPr>
            </w:pPr>
            <w:r w:rsidRPr="007B4B28">
              <w:rPr>
                <w:rFonts w:ascii="Times New Roman" w:hAnsi="Times New Roman" w:cs="Times New Roman"/>
                <w:bCs/>
                <w:lang w:val="ro-RO"/>
              </w:rPr>
              <w:t>„</w:t>
            </w:r>
            <w:r w:rsidRPr="007B4B28">
              <w:rPr>
                <w:rFonts w:ascii="Times New Roman" w:hAnsi="Times New Roman" w:cs="Times New Roman"/>
                <w:bCs/>
                <w:i/>
                <w:lang w:val="ro-RO"/>
              </w:rPr>
              <w:t>serviciu de flexibilitate</w:t>
            </w:r>
            <w:r w:rsidRPr="007B4B28">
              <w:rPr>
                <w:rFonts w:ascii="Times New Roman" w:hAnsi="Times New Roman" w:cs="Times New Roman"/>
                <w:bCs/>
                <w:lang w:val="ro-RO"/>
              </w:rPr>
              <w:t>”, în conformitate cu pct. 433</w:t>
            </w:r>
            <w:r w:rsidRPr="007B4B28">
              <w:rPr>
                <w:rFonts w:ascii="Times New Roman" w:hAnsi="Times New Roman" w:cs="Times New Roman"/>
                <w:bCs/>
                <w:vertAlign w:val="superscript"/>
                <w:lang w:val="ro-RO"/>
              </w:rPr>
              <w:t>80</w:t>
            </w:r>
            <w:r w:rsidRPr="007B4B28">
              <w:rPr>
                <w:rFonts w:ascii="Times New Roman" w:hAnsi="Times New Roman" w:cs="Times New Roman"/>
                <w:bCs/>
                <w:lang w:val="ro-RO"/>
              </w:rPr>
              <w:t xml:space="preserve"> al prezentului proiect.</w:t>
            </w:r>
          </w:p>
        </w:tc>
        <w:tc>
          <w:tcPr>
            <w:cnfStyle w:val="000100000000" w:firstRow="0" w:lastRow="0" w:firstColumn="0" w:lastColumn="1" w:oddVBand="0" w:evenVBand="0" w:oddHBand="0" w:evenHBand="0" w:firstRowFirstColumn="0" w:firstRowLastColumn="0" w:lastRowFirstColumn="0" w:lastRowLastColumn="0"/>
            <w:tcW w:w="1060" w:type="pct"/>
          </w:tcPr>
          <w:p w14:paraId="7E79D0F4" w14:textId="134FE695" w:rsidR="003128C4" w:rsidRDefault="003128C4" w:rsidP="008A3E25">
            <w:pPr>
              <w:jc w:val="both"/>
              <w:rPr>
                <w:sz w:val="22"/>
                <w:szCs w:val="22"/>
                <w:lang w:val="en-GB"/>
              </w:rPr>
            </w:pPr>
            <w:r>
              <w:rPr>
                <w:sz w:val="22"/>
                <w:szCs w:val="22"/>
                <w:lang w:val="en-GB"/>
              </w:rPr>
              <w:t>Se acceptă</w:t>
            </w:r>
            <w:r w:rsidR="00E933DD">
              <w:rPr>
                <w:sz w:val="22"/>
                <w:szCs w:val="22"/>
                <w:lang w:val="en-GB"/>
              </w:rPr>
              <w:t xml:space="preserve"> parțial.</w:t>
            </w:r>
          </w:p>
          <w:p w14:paraId="3B05AD66" w14:textId="77777777" w:rsidR="00E933DD" w:rsidRPr="00E933DD" w:rsidRDefault="00E933DD" w:rsidP="00511A6A">
            <w:pPr>
              <w:tabs>
                <w:tab w:val="left" w:pos="567"/>
              </w:tabs>
              <w:jc w:val="both"/>
              <w:rPr>
                <w:b w:val="0"/>
                <w:lang w:val="ro-RO" w:eastAsia="ro-RO"/>
              </w:rPr>
            </w:pPr>
            <w:r w:rsidRPr="00E933DD">
              <w:rPr>
                <w:b w:val="0"/>
                <w:i/>
                <w:lang w:val="ro-RO" w:eastAsia="ro-RO"/>
              </w:rPr>
              <w:t>produs de localizare</w:t>
            </w:r>
            <w:r w:rsidRPr="00E933DD">
              <w:rPr>
                <w:b w:val="0"/>
                <w:lang w:val="ro-RO" w:eastAsia="ro-RO"/>
              </w:rPr>
              <w:t xml:space="preserve"> – produs flexibil de gaze naturale comercializat pentru a fi destinat livrării într-o locație determinată, în interiorul zonei de echilibrare;</w:t>
            </w:r>
          </w:p>
          <w:p w14:paraId="45BB4641" w14:textId="2557C64D" w:rsidR="003128C4" w:rsidRPr="00E933DD" w:rsidRDefault="00E933DD" w:rsidP="00511A6A">
            <w:pPr>
              <w:tabs>
                <w:tab w:val="left" w:pos="567"/>
              </w:tabs>
              <w:jc w:val="both"/>
              <w:rPr>
                <w:b w:val="0"/>
                <w:lang w:val="ro-RO" w:eastAsia="ro-RO"/>
              </w:rPr>
            </w:pPr>
            <w:r w:rsidRPr="00E933DD">
              <w:rPr>
                <w:b w:val="0"/>
                <w:i/>
                <w:lang w:val="ro-RO" w:eastAsia="ro-RO"/>
              </w:rPr>
              <w:t>produs temporar</w:t>
            </w:r>
            <w:r w:rsidRPr="00E933DD">
              <w:rPr>
                <w:b w:val="0"/>
                <w:lang w:val="ro-RO" w:eastAsia="ro-RO"/>
              </w:rPr>
              <w:t xml:space="preserve"> – produs flexibil de gaze naturale comercializat pentru livrare într-o anumită perioadă de timp în perioada de echilibrare. </w:t>
            </w:r>
          </w:p>
        </w:tc>
      </w:tr>
      <w:tr w:rsidR="0077611E" w:rsidRPr="007B4B28" w14:paraId="6970BBD5" w14:textId="77777777" w:rsidTr="001648D4">
        <w:trPr>
          <w:trHeight w:val="70"/>
        </w:trPr>
        <w:tc>
          <w:tcPr>
            <w:tcW w:w="339" w:type="pct"/>
          </w:tcPr>
          <w:p w14:paraId="5710ECE5" w14:textId="77777777" w:rsidR="0077611E" w:rsidRPr="007B4B28" w:rsidRDefault="0077611E" w:rsidP="00BB1A04">
            <w:pPr>
              <w:rPr>
                <w:sz w:val="22"/>
                <w:szCs w:val="22"/>
                <w:lang w:val="ro-RO"/>
              </w:rPr>
            </w:pPr>
            <w:r w:rsidRPr="007B4B28">
              <w:rPr>
                <w:sz w:val="22"/>
                <w:szCs w:val="22"/>
                <w:lang w:val="ro-RO"/>
              </w:rPr>
              <w:t>Pct.</w:t>
            </w:r>
          </w:p>
          <w:p w14:paraId="6D94329F" w14:textId="13419C2C" w:rsidR="0077611E" w:rsidRPr="007B4B28" w:rsidRDefault="0077611E" w:rsidP="00BB1A04">
            <w:pPr>
              <w:rPr>
                <w:sz w:val="22"/>
                <w:szCs w:val="22"/>
                <w:vertAlign w:val="superscript"/>
                <w:lang w:val="ro-RO"/>
              </w:rPr>
            </w:pPr>
            <w:r w:rsidRPr="007B4B28">
              <w:rPr>
                <w:sz w:val="22"/>
                <w:szCs w:val="22"/>
                <w:lang w:val="ro-RO"/>
              </w:rPr>
              <w:t>433</w:t>
            </w:r>
            <w:r w:rsidRPr="007B4B28">
              <w:rPr>
                <w:sz w:val="22"/>
                <w:szCs w:val="22"/>
                <w:vertAlign w:val="superscript"/>
                <w:lang w:val="ro-RO"/>
              </w:rPr>
              <w:t>1</w:t>
            </w:r>
          </w:p>
        </w:tc>
        <w:tc>
          <w:tcPr>
            <w:tcW w:w="536" w:type="pct"/>
          </w:tcPr>
          <w:p w14:paraId="6966E3A9" w14:textId="59506FB4" w:rsidR="0077611E" w:rsidRPr="007B4B28" w:rsidRDefault="0077611E" w:rsidP="00BB1A04">
            <w:pPr>
              <w:rPr>
                <w:sz w:val="22"/>
                <w:szCs w:val="22"/>
                <w:lang w:val="en-GB"/>
              </w:rPr>
            </w:pPr>
            <w:r w:rsidRPr="007B4B28">
              <w:rPr>
                <w:sz w:val="22"/>
                <w:szCs w:val="22"/>
                <w:lang w:val="en-GB"/>
              </w:rPr>
              <w:t>SA “Moldovagaz”</w:t>
            </w:r>
          </w:p>
        </w:tc>
        <w:tc>
          <w:tcPr>
            <w:tcW w:w="1528" w:type="pct"/>
          </w:tcPr>
          <w:p w14:paraId="1AFC89FF" w14:textId="77777777" w:rsidR="0077611E" w:rsidRPr="007B4B28" w:rsidRDefault="0077611E" w:rsidP="00335651">
            <w:pPr>
              <w:jc w:val="both"/>
              <w:rPr>
                <w:sz w:val="22"/>
                <w:szCs w:val="22"/>
                <w:lang w:val="ro-MD"/>
              </w:rPr>
            </w:pPr>
            <w:r w:rsidRPr="007B4B28">
              <w:rPr>
                <w:sz w:val="22"/>
                <w:szCs w:val="22"/>
                <w:lang w:val="ro-MD"/>
              </w:rPr>
              <w:t xml:space="preserve">Prezentul Titlu stabilește norme privind echilibrarea gazelor naturale, inclusiv norme cu privire la procedurile de nominalizare, taxele de </w:t>
            </w:r>
            <w:r w:rsidRPr="007B4B28">
              <w:rPr>
                <w:sz w:val="22"/>
                <w:szCs w:val="22"/>
                <w:lang w:val="ro-MD"/>
              </w:rPr>
              <w:lastRenderedPageBreak/>
              <w:t>dezechilibru, proceduri asociate taxei de dezechilibru zilnic și echilibrarea operațională între rețelele OST-urilor.</w:t>
            </w:r>
          </w:p>
          <w:p w14:paraId="2B38CBCC" w14:textId="77777777" w:rsidR="0077611E" w:rsidRPr="007B4B28" w:rsidRDefault="0077611E" w:rsidP="008A3E25">
            <w:pPr>
              <w:pStyle w:val="NormalWeb"/>
              <w:tabs>
                <w:tab w:val="left" w:pos="851"/>
              </w:tabs>
              <w:ind w:firstLine="0"/>
              <w:rPr>
                <w:bCs/>
                <w:color w:val="000000"/>
                <w:sz w:val="22"/>
                <w:szCs w:val="22"/>
                <w:lang w:val="ro-MD"/>
              </w:rPr>
            </w:pPr>
          </w:p>
        </w:tc>
        <w:tc>
          <w:tcPr>
            <w:tcW w:w="1537" w:type="pct"/>
          </w:tcPr>
          <w:p w14:paraId="35CC13C5" w14:textId="37E1EE05" w:rsidR="0077611E" w:rsidRPr="007B4B28" w:rsidRDefault="0077611E" w:rsidP="00C45E6F">
            <w:pPr>
              <w:pStyle w:val="NoSpacing"/>
              <w:tabs>
                <w:tab w:val="left" w:pos="0"/>
                <w:tab w:val="left" w:pos="851"/>
              </w:tabs>
              <w:jc w:val="both"/>
              <w:rPr>
                <w:rFonts w:ascii="Times New Roman" w:eastAsia="Times New Roman" w:hAnsi="Times New Roman" w:cs="Times New Roman"/>
                <w:lang w:val="ro-RO" w:eastAsia="ro-RO"/>
              </w:rPr>
            </w:pPr>
            <w:r w:rsidRPr="007B4B28">
              <w:rPr>
                <w:rFonts w:ascii="Times New Roman" w:hAnsi="Times New Roman" w:cs="Times New Roman"/>
                <w:bCs/>
                <w:lang w:val="ro-RO"/>
              </w:rPr>
              <w:lastRenderedPageBreak/>
              <w:t>s</w:t>
            </w:r>
            <w:r w:rsidRPr="007B4B28">
              <w:rPr>
                <w:rFonts w:ascii="Times New Roman" w:hAnsi="Times New Roman" w:cs="Times New Roman"/>
                <w:lang w:val="ro-RO"/>
              </w:rPr>
              <w:t>intagmele „</w:t>
            </w:r>
            <w:r w:rsidRPr="007B4B28">
              <w:rPr>
                <w:rFonts w:ascii="Times New Roman" w:hAnsi="Times New Roman" w:cs="Times New Roman"/>
                <w:i/>
                <w:lang w:val="ro-RO"/>
              </w:rPr>
              <w:t>taxele de</w:t>
            </w:r>
            <w:r w:rsidRPr="007B4B28">
              <w:rPr>
                <w:rFonts w:ascii="Times New Roman" w:hAnsi="Times New Roman" w:cs="Times New Roman"/>
                <w:lang w:val="ro-RO"/>
              </w:rPr>
              <w:t xml:space="preserve">” și </w:t>
            </w:r>
            <w:r w:rsidRPr="007B4B28">
              <w:rPr>
                <w:rFonts w:ascii="Times New Roman" w:eastAsia="Times New Roman" w:hAnsi="Times New Roman" w:cs="Times New Roman"/>
                <w:lang w:val="ro-RO" w:eastAsia="ro-RO"/>
              </w:rPr>
              <w:t>„</w:t>
            </w:r>
            <w:r w:rsidRPr="007B4B28">
              <w:rPr>
                <w:rFonts w:ascii="Times New Roman" w:eastAsia="Times New Roman" w:hAnsi="Times New Roman" w:cs="Times New Roman"/>
                <w:i/>
                <w:lang w:val="ro-RO" w:eastAsia="ro-RO"/>
              </w:rPr>
              <w:t>taxei de</w:t>
            </w:r>
            <w:r w:rsidRPr="007B4B28">
              <w:rPr>
                <w:rFonts w:ascii="Times New Roman" w:eastAsia="Times New Roman" w:hAnsi="Times New Roman" w:cs="Times New Roman"/>
                <w:lang w:val="ro-RO" w:eastAsia="ro-RO"/>
              </w:rPr>
              <w:t>” de</w:t>
            </w:r>
            <w:r w:rsidRPr="007B4B28">
              <w:rPr>
                <w:rFonts w:ascii="Times New Roman" w:hAnsi="Times New Roman" w:cs="Times New Roman"/>
                <w:lang w:val="ro-RO"/>
              </w:rPr>
              <w:t xml:space="preserve"> substituit cu sintagma „</w:t>
            </w:r>
            <w:r w:rsidRPr="007B4B28">
              <w:rPr>
                <w:rFonts w:ascii="Times New Roman" w:hAnsi="Times New Roman" w:cs="Times New Roman"/>
                <w:i/>
                <w:lang w:val="ro-RO"/>
              </w:rPr>
              <w:t>plății pentru</w:t>
            </w:r>
            <w:r w:rsidRPr="007B4B28">
              <w:rPr>
                <w:rFonts w:ascii="Times New Roman" w:hAnsi="Times New Roman" w:cs="Times New Roman"/>
                <w:lang w:val="ro-RO"/>
              </w:rPr>
              <w:t xml:space="preserve">”, în conformitate cu </w:t>
            </w:r>
            <w:r w:rsidRPr="007B4B28">
              <w:rPr>
                <w:rFonts w:ascii="Times New Roman" w:hAnsi="Times New Roman" w:cs="Times New Roman"/>
                <w:lang w:val="ro-RO"/>
              </w:rPr>
              <w:lastRenderedPageBreak/>
              <w:t xml:space="preserve">pct. 153, 160 din Reguli </w:t>
            </w:r>
            <w:r w:rsidRPr="007B4B28">
              <w:rPr>
                <w:rFonts w:ascii="Times New Roman" w:eastAsia="Times New Roman" w:hAnsi="Times New Roman" w:cs="Times New Roman"/>
                <w:lang w:val="ro-RO" w:eastAsia="ro-RO"/>
              </w:rPr>
              <w:t>și pct. 433</w:t>
            </w:r>
            <w:r w:rsidRPr="007B4B28">
              <w:rPr>
                <w:rFonts w:ascii="Times New Roman" w:eastAsia="Times New Roman" w:hAnsi="Times New Roman" w:cs="Times New Roman"/>
                <w:vertAlign w:val="superscript"/>
                <w:lang w:val="ro-RO" w:eastAsia="ro-RO"/>
              </w:rPr>
              <w:t>73</w:t>
            </w:r>
            <w:r w:rsidRPr="007B4B28">
              <w:rPr>
                <w:rFonts w:ascii="Times New Roman" w:eastAsia="Times New Roman" w:hAnsi="Times New Roman" w:cs="Times New Roman"/>
                <w:lang w:val="ro-RO" w:eastAsia="ro-RO"/>
              </w:rPr>
              <w:t xml:space="preserve"> al prezentului proiect;</w:t>
            </w:r>
          </w:p>
          <w:p w14:paraId="3CEF1F2F" w14:textId="447E6E39" w:rsidR="0077611E" w:rsidRPr="007B4B28" w:rsidRDefault="0077611E" w:rsidP="008E0AB4">
            <w:pPr>
              <w:pStyle w:val="NoSpacing"/>
              <w:tabs>
                <w:tab w:val="left" w:pos="0"/>
                <w:tab w:val="left" w:pos="851"/>
                <w:tab w:val="left" w:pos="1134"/>
              </w:tabs>
              <w:ind w:left="851"/>
              <w:jc w:val="both"/>
              <w:rPr>
                <w:rFonts w:ascii="Times New Roman" w:hAnsi="Times New Roman" w:cs="Times New Roman"/>
                <w:lang w:val="en-GB"/>
              </w:rPr>
            </w:pPr>
          </w:p>
        </w:tc>
        <w:tc>
          <w:tcPr>
            <w:cnfStyle w:val="000100000000" w:firstRow="0" w:lastRow="0" w:firstColumn="0" w:lastColumn="1" w:oddVBand="0" w:evenVBand="0" w:oddHBand="0" w:evenHBand="0" w:firstRowFirstColumn="0" w:firstRowLastColumn="0" w:lastRowFirstColumn="0" w:lastRowLastColumn="0"/>
            <w:tcW w:w="1060" w:type="pct"/>
          </w:tcPr>
          <w:p w14:paraId="3C8C3241" w14:textId="3547D826" w:rsidR="0077611E" w:rsidRPr="007B4B28" w:rsidRDefault="00947C18" w:rsidP="00395552">
            <w:pPr>
              <w:jc w:val="both"/>
              <w:rPr>
                <w:sz w:val="22"/>
                <w:szCs w:val="22"/>
                <w:lang w:val="ro-MD"/>
              </w:rPr>
            </w:pPr>
            <w:r>
              <w:rPr>
                <w:sz w:val="22"/>
                <w:szCs w:val="22"/>
                <w:lang w:val="ro-MD"/>
              </w:rPr>
              <w:lastRenderedPageBreak/>
              <w:t xml:space="preserve">Se acceptă </w:t>
            </w:r>
          </w:p>
        </w:tc>
      </w:tr>
      <w:tr w:rsidR="0077611E" w:rsidRPr="00511A6A" w14:paraId="4CE5D81E" w14:textId="77777777" w:rsidTr="001648D4">
        <w:trPr>
          <w:trHeight w:val="70"/>
        </w:trPr>
        <w:tc>
          <w:tcPr>
            <w:tcW w:w="339" w:type="pct"/>
          </w:tcPr>
          <w:p w14:paraId="30B7F860" w14:textId="56BCCE9B" w:rsidR="0077611E" w:rsidRPr="007B4B28" w:rsidRDefault="0077611E" w:rsidP="00BB1A04">
            <w:pPr>
              <w:rPr>
                <w:sz w:val="22"/>
                <w:szCs w:val="22"/>
                <w:lang w:val="ro-RO"/>
              </w:rPr>
            </w:pPr>
            <w:r w:rsidRPr="007B4B28">
              <w:rPr>
                <w:sz w:val="22"/>
                <w:szCs w:val="22"/>
                <w:lang w:val="ro-RO"/>
              </w:rPr>
              <w:lastRenderedPageBreak/>
              <w:t>Pct. 433</w:t>
            </w:r>
            <w:r w:rsidRPr="007B4B28">
              <w:rPr>
                <w:sz w:val="22"/>
                <w:szCs w:val="22"/>
                <w:vertAlign w:val="superscript"/>
                <w:lang w:val="ro-RO"/>
              </w:rPr>
              <w:t>28</w:t>
            </w:r>
          </w:p>
        </w:tc>
        <w:tc>
          <w:tcPr>
            <w:tcW w:w="536" w:type="pct"/>
          </w:tcPr>
          <w:p w14:paraId="1CC053E4" w14:textId="4348B2CD" w:rsidR="0077611E" w:rsidRPr="007B4B28" w:rsidRDefault="0077611E" w:rsidP="00BB1A04">
            <w:pPr>
              <w:rPr>
                <w:sz w:val="22"/>
                <w:szCs w:val="22"/>
                <w:lang w:val="en-GB"/>
              </w:rPr>
            </w:pPr>
            <w:r w:rsidRPr="007B4B28">
              <w:rPr>
                <w:sz w:val="22"/>
                <w:szCs w:val="22"/>
                <w:lang w:val="en-GB"/>
              </w:rPr>
              <w:t>SA “Moldovagaz”</w:t>
            </w:r>
          </w:p>
        </w:tc>
        <w:tc>
          <w:tcPr>
            <w:tcW w:w="1528" w:type="pct"/>
          </w:tcPr>
          <w:p w14:paraId="195F2394" w14:textId="0B14B808" w:rsidR="0077611E" w:rsidRPr="005F771C" w:rsidRDefault="0077611E" w:rsidP="005F771C">
            <w:pPr>
              <w:contextualSpacing/>
              <w:jc w:val="both"/>
              <w:rPr>
                <w:sz w:val="22"/>
                <w:szCs w:val="22"/>
                <w:lang w:val="ro-MD"/>
              </w:rPr>
            </w:pPr>
            <w:r w:rsidRPr="007B4B28">
              <w:rPr>
                <w:sz w:val="22"/>
                <w:szCs w:val="22"/>
                <w:lang w:val="ro-MD"/>
              </w:rPr>
              <w:t>433</w:t>
            </w:r>
            <w:r w:rsidRPr="007B4B28">
              <w:rPr>
                <w:sz w:val="22"/>
                <w:szCs w:val="22"/>
                <w:vertAlign w:val="superscript"/>
                <w:lang w:val="ro-MD"/>
              </w:rPr>
              <w:t>28</w:t>
            </w:r>
            <w:r w:rsidRPr="007B4B28">
              <w:rPr>
                <w:sz w:val="22"/>
                <w:szCs w:val="22"/>
                <w:lang w:val="ro-MD"/>
              </w:rPr>
              <w:t>. Atunci când stabilesc PSTS, OST din zonele de echilibrare adiacente cooperează în vederea identificării produselor relevante. Fiecare OST informează operatorii relevanți de platforme de tranzacționare cu privire la rezultatul acestei cooperări fără nicio întârziere nejustificată.</w:t>
            </w:r>
          </w:p>
        </w:tc>
        <w:tc>
          <w:tcPr>
            <w:tcW w:w="1537" w:type="pct"/>
          </w:tcPr>
          <w:p w14:paraId="30004A19" w14:textId="66E84664" w:rsidR="0077611E" w:rsidRPr="007B4B28" w:rsidRDefault="0077611E" w:rsidP="005F771C">
            <w:pPr>
              <w:pStyle w:val="NoSpacing"/>
              <w:tabs>
                <w:tab w:val="left" w:pos="0"/>
                <w:tab w:val="left" w:pos="851"/>
                <w:tab w:val="left" w:pos="1134"/>
              </w:tabs>
              <w:ind w:left="121"/>
              <w:jc w:val="both"/>
              <w:rPr>
                <w:rFonts w:ascii="Times New Roman" w:eastAsia="Times New Roman" w:hAnsi="Times New Roman" w:cs="Times New Roman"/>
                <w:lang w:val="ro-RO" w:eastAsia="ro-RO"/>
              </w:rPr>
            </w:pPr>
            <w:r w:rsidRPr="007B4B28">
              <w:rPr>
                <w:rFonts w:ascii="Times New Roman" w:eastAsia="Times New Roman" w:hAnsi="Times New Roman" w:cs="Times New Roman"/>
                <w:lang w:val="ro-RO" w:eastAsia="ro-RO"/>
              </w:rPr>
              <w:t>cuvântul „</w:t>
            </w:r>
            <w:r w:rsidRPr="007B4B28">
              <w:rPr>
                <w:rFonts w:ascii="Times New Roman" w:eastAsia="Times New Roman" w:hAnsi="Times New Roman" w:cs="Times New Roman"/>
                <w:i/>
                <w:lang w:val="ro-RO" w:eastAsia="ro-RO"/>
              </w:rPr>
              <w:t>relevante</w:t>
            </w:r>
            <w:r w:rsidRPr="007B4B28">
              <w:rPr>
                <w:rFonts w:ascii="Times New Roman" w:eastAsia="Times New Roman" w:hAnsi="Times New Roman" w:cs="Times New Roman"/>
                <w:lang w:val="ro-RO" w:eastAsia="ro-RO"/>
              </w:rPr>
              <w:t xml:space="preserve">” de substituit cu cuvântul </w:t>
            </w:r>
            <w:r w:rsidRPr="00511A6A">
              <w:rPr>
                <w:rFonts w:ascii="Times New Roman" w:eastAsia="Times New Roman" w:hAnsi="Times New Roman" w:cs="Times New Roman"/>
                <w:lang w:val="ro-RO" w:eastAsia="ro-RO"/>
              </w:rPr>
              <w:t>„</w:t>
            </w:r>
            <w:r w:rsidRPr="00511A6A">
              <w:rPr>
                <w:rFonts w:ascii="Times New Roman" w:eastAsia="Times New Roman" w:hAnsi="Times New Roman" w:cs="Times New Roman"/>
                <w:i/>
                <w:lang w:val="ro-RO" w:eastAsia="ro-RO"/>
              </w:rPr>
              <w:t>respective</w:t>
            </w:r>
            <w:r w:rsidRPr="00511A6A">
              <w:rPr>
                <w:rFonts w:ascii="Times New Roman" w:eastAsia="Times New Roman" w:hAnsi="Times New Roman" w:cs="Times New Roman"/>
                <w:lang w:val="ro-RO" w:eastAsia="ro-RO"/>
              </w:rPr>
              <w:t>”,</w:t>
            </w:r>
          </w:p>
          <w:p w14:paraId="1627783A" w14:textId="450E9C80" w:rsidR="0077611E" w:rsidRPr="007B4B28" w:rsidRDefault="0077611E" w:rsidP="005F771C">
            <w:pPr>
              <w:pStyle w:val="NoSpacing"/>
              <w:tabs>
                <w:tab w:val="left" w:pos="0"/>
                <w:tab w:val="left" w:pos="851"/>
                <w:tab w:val="left" w:pos="1134"/>
              </w:tabs>
              <w:jc w:val="both"/>
              <w:rPr>
                <w:rFonts w:ascii="Times New Roman" w:eastAsia="Times New Roman" w:hAnsi="Times New Roman" w:cs="Times New Roman"/>
                <w:lang w:val="ro-RO" w:eastAsia="ro-RO"/>
              </w:rPr>
            </w:pPr>
            <w:r w:rsidRPr="007B4B28">
              <w:rPr>
                <w:rFonts w:ascii="Times New Roman" w:eastAsia="Times New Roman" w:hAnsi="Times New Roman" w:cs="Times New Roman"/>
                <w:lang w:val="ro-RO" w:eastAsia="ro-RO"/>
              </w:rPr>
              <w:t>textul „</w:t>
            </w:r>
            <w:r w:rsidRPr="007B4B28">
              <w:rPr>
                <w:rFonts w:ascii="Times New Roman" w:hAnsi="Times New Roman" w:cs="Times New Roman"/>
                <w:i/>
                <w:lang w:val="ro-RO"/>
              </w:rPr>
              <w:t>operatorii relevanți de platforme de tranzacționare</w:t>
            </w:r>
            <w:r w:rsidRPr="007B4B28">
              <w:rPr>
                <w:rFonts w:ascii="Times New Roman" w:eastAsia="Times New Roman" w:hAnsi="Times New Roman" w:cs="Times New Roman"/>
                <w:lang w:val="ro-RO" w:eastAsia="ro-RO"/>
              </w:rPr>
              <w:t xml:space="preserve">” de </w:t>
            </w:r>
            <w:r w:rsidRPr="007B4B28">
              <w:rPr>
                <w:rFonts w:ascii="Times New Roman" w:hAnsi="Times New Roman" w:cs="Times New Roman"/>
                <w:lang w:val="ro-RO" w:eastAsia="ru-RU"/>
              </w:rPr>
              <w:t>substituit cu textul</w:t>
            </w:r>
            <w:r w:rsidRPr="007B4B28">
              <w:rPr>
                <w:rFonts w:ascii="Times New Roman" w:hAnsi="Times New Roman" w:cs="Times New Roman"/>
                <w:lang w:val="ro-RO"/>
              </w:rPr>
              <w:t xml:space="preserve"> </w:t>
            </w:r>
            <w:r w:rsidRPr="007B4B28">
              <w:rPr>
                <w:rFonts w:ascii="Times New Roman" w:eastAsia="Times New Roman" w:hAnsi="Times New Roman" w:cs="Times New Roman"/>
                <w:lang w:val="ro-RO" w:eastAsia="ro-RO"/>
              </w:rPr>
              <w:t>„</w:t>
            </w:r>
            <w:r w:rsidRPr="007B4B28">
              <w:rPr>
                <w:rFonts w:ascii="Times New Roman" w:hAnsi="Times New Roman" w:cs="Times New Roman"/>
                <w:i/>
                <w:lang w:val="ro-RO"/>
              </w:rPr>
              <w:t>operatorii platformelor de tranzacționare în cauză</w:t>
            </w:r>
            <w:r w:rsidRPr="007B4B28">
              <w:rPr>
                <w:rFonts w:ascii="Times New Roman" w:eastAsia="Times New Roman" w:hAnsi="Times New Roman" w:cs="Times New Roman"/>
                <w:lang w:val="ro-RO" w:eastAsia="ro-RO"/>
              </w:rPr>
              <w:t>”;</w:t>
            </w:r>
          </w:p>
          <w:p w14:paraId="71E49EC2" w14:textId="77777777" w:rsidR="0077611E" w:rsidRPr="007B4B28" w:rsidRDefault="0077611E" w:rsidP="008A3E25">
            <w:pPr>
              <w:tabs>
                <w:tab w:val="left" w:pos="8820"/>
              </w:tabs>
              <w:jc w:val="both"/>
              <w:rPr>
                <w:sz w:val="22"/>
                <w:szCs w:val="22"/>
                <w:lang w:val="en-GB"/>
              </w:rPr>
            </w:pPr>
          </w:p>
        </w:tc>
        <w:tc>
          <w:tcPr>
            <w:cnfStyle w:val="000100000000" w:firstRow="0" w:lastRow="0" w:firstColumn="0" w:lastColumn="1" w:oddVBand="0" w:evenVBand="0" w:oddHBand="0" w:evenHBand="0" w:firstRowFirstColumn="0" w:firstRowLastColumn="0" w:lastRowFirstColumn="0" w:lastRowLastColumn="0"/>
            <w:tcW w:w="1060" w:type="pct"/>
          </w:tcPr>
          <w:p w14:paraId="0EB5F404" w14:textId="77777777" w:rsidR="00CF6633" w:rsidRDefault="00CF6633" w:rsidP="00C45E6F">
            <w:pPr>
              <w:jc w:val="both"/>
              <w:rPr>
                <w:sz w:val="22"/>
                <w:szCs w:val="22"/>
                <w:lang w:val="en-GB"/>
              </w:rPr>
            </w:pPr>
          </w:p>
          <w:p w14:paraId="2C8FE11D" w14:textId="3B5032B4" w:rsidR="002D3873" w:rsidRPr="004A29A7" w:rsidRDefault="003A1871" w:rsidP="008E0AB4">
            <w:pPr>
              <w:jc w:val="both"/>
              <w:rPr>
                <w:sz w:val="22"/>
                <w:szCs w:val="22"/>
                <w:lang w:val="en-GB"/>
              </w:rPr>
            </w:pPr>
            <w:r>
              <w:rPr>
                <w:sz w:val="22"/>
                <w:szCs w:val="22"/>
                <w:lang w:val="en-GB"/>
              </w:rPr>
              <w:t>Nu se acceptă</w:t>
            </w:r>
          </w:p>
          <w:p w14:paraId="13A12AB6" w14:textId="77777777" w:rsidR="0077611E" w:rsidRDefault="0077611E" w:rsidP="00395552">
            <w:pPr>
              <w:jc w:val="both"/>
              <w:rPr>
                <w:sz w:val="22"/>
                <w:szCs w:val="22"/>
                <w:lang w:val="ro-MD"/>
              </w:rPr>
            </w:pPr>
          </w:p>
          <w:p w14:paraId="6A46565E" w14:textId="77777777" w:rsidR="002D3873" w:rsidRDefault="002D3873" w:rsidP="00EF13E1">
            <w:pPr>
              <w:jc w:val="both"/>
              <w:rPr>
                <w:sz w:val="22"/>
                <w:szCs w:val="22"/>
                <w:lang w:val="ro-MD"/>
              </w:rPr>
            </w:pPr>
          </w:p>
          <w:p w14:paraId="5C9C1A1E" w14:textId="2D680B3B" w:rsidR="002D3873" w:rsidRPr="004A29A7" w:rsidRDefault="003A1871" w:rsidP="00FD1806">
            <w:pPr>
              <w:jc w:val="both"/>
              <w:rPr>
                <w:sz w:val="22"/>
                <w:szCs w:val="22"/>
                <w:lang w:val="en-GB"/>
              </w:rPr>
            </w:pPr>
            <w:r>
              <w:rPr>
                <w:sz w:val="22"/>
                <w:szCs w:val="22"/>
                <w:lang w:val="en-GB"/>
              </w:rPr>
              <w:t>Nu se acceptă</w:t>
            </w:r>
          </w:p>
          <w:p w14:paraId="6AAB68F1" w14:textId="68FDC39D" w:rsidR="002D3873" w:rsidRPr="007B4B28" w:rsidRDefault="002D3873" w:rsidP="00245F6F">
            <w:pPr>
              <w:jc w:val="both"/>
              <w:rPr>
                <w:sz w:val="22"/>
                <w:szCs w:val="22"/>
                <w:lang w:val="ro-MD"/>
              </w:rPr>
            </w:pPr>
          </w:p>
        </w:tc>
      </w:tr>
      <w:tr w:rsidR="0077611E" w:rsidRPr="00511A6A" w14:paraId="57FFE92B" w14:textId="77777777" w:rsidTr="001648D4">
        <w:trPr>
          <w:trHeight w:val="70"/>
        </w:trPr>
        <w:tc>
          <w:tcPr>
            <w:tcW w:w="339" w:type="pct"/>
          </w:tcPr>
          <w:p w14:paraId="3840D94A" w14:textId="45CDEE7E" w:rsidR="0077611E" w:rsidRPr="007B4B28" w:rsidRDefault="0077611E" w:rsidP="00BB1A04">
            <w:pPr>
              <w:rPr>
                <w:sz w:val="22"/>
                <w:szCs w:val="22"/>
                <w:vertAlign w:val="superscript"/>
                <w:lang w:val="ro-RO"/>
              </w:rPr>
            </w:pPr>
            <w:r w:rsidRPr="007B4B28">
              <w:rPr>
                <w:sz w:val="22"/>
                <w:szCs w:val="22"/>
                <w:lang w:val="ro-RO"/>
              </w:rPr>
              <w:t>Pct. 433</w:t>
            </w:r>
            <w:r w:rsidRPr="007B4B28">
              <w:rPr>
                <w:sz w:val="22"/>
                <w:szCs w:val="22"/>
                <w:vertAlign w:val="superscript"/>
                <w:lang w:val="ro-RO"/>
              </w:rPr>
              <w:t>32</w:t>
            </w:r>
          </w:p>
        </w:tc>
        <w:tc>
          <w:tcPr>
            <w:tcW w:w="536" w:type="pct"/>
          </w:tcPr>
          <w:p w14:paraId="2ADCCE57" w14:textId="4C6C56CB" w:rsidR="0077611E" w:rsidRPr="007B4B28" w:rsidRDefault="0077611E" w:rsidP="00BB1A04">
            <w:pPr>
              <w:rPr>
                <w:sz w:val="22"/>
                <w:szCs w:val="22"/>
                <w:lang w:val="en-GB"/>
              </w:rPr>
            </w:pPr>
            <w:r w:rsidRPr="007B4B28">
              <w:rPr>
                <w:sz w:val="22"/>
                <w:szCs w:val="22"/>
                <w:lang w:val="en-GB"/>
              </w:rPr>
              <w:t>SA “Moldovagaz”</w:t>
            </w:r>
          </w:p>
        </w:tc>
        <w:tc>
          <w:tcPr>
            <w:tcW w:w="1528" w:type="pct"/>
          </w:tcPr>
          <w:p w14:paraId="73E4AD01" w14:textId="26252191" w:rsidR="0077611E" w:rsidRPr="007B4B28" w:rsidRDefault="0077611E" w:rsidP="00BB1A04">
            <w:pPr>
              <w:pStyle w:val="NormalWeb"/>
              <w:tabs>
                <w:tab w:val="left" w:pos="851"/>
              </w:tabs>
              <w:ind w:firstLine="0"/>
              <w:rPr>
                <w:bCs/>
                <w:color w:val="000000"/>
                <w:sz w:val="22"/>
                <w:szCs w:val="22"/>
                <w:lang w:val="ro-MD"/>
              </w:rPr>
            </w:pPr>
            <w:r w:rsidRPr="00B07DA0">
              <w:rPr>
                <w:strike/>
                <w:sz w:val="22"/>
                <w:szCs w:val="22"/>
                <w:lang w:val="ro-MD"/>
              </w:rPr>
              <w:t>În anumite circumstanțe,</w:t>
            </w:r>
            <w:r w:rsidRPr="007B4B28">
              <w:rPr>
                <w:sz w:val="22"/>
                <w:szCs w:val="22"/>
                <w:lang w:val="ro-MD"/>
              </w:rPr>
              <w:t xml:space="preserve"> Agenția poate aproba o altă procedură transparentă și nediscriminatorie decât licitația publică.</w:t>
            </w:r>
          </w:p>
        </w:tc>
        <w:tc>
          <w:tcPr>
            <w:tcW w:w="1537" w:type="pct"/>
          </w:tcPr>
          <w:p w14:paraId="26CDF18E" w14:textId="3C47120D" w:rsidR="0077611E" w:rsidRPr="007B4B28" w:rsidRDefault="0077611E" w:rsidP="00335651">
            <w:pPr>
              <w:tabs>
                <w:tab w:val="left" w:pos="8820"/>
              </w:tabs>
              <w:jc w:val="both"/>
              <w:rPr>
                <w:sz w:val="22"/>
                <w:szCs w:val="22"/>
                <w:lang w:val="en-GB"/>
              </w:rPr>
            </w:pPr>
            <w:r w:rsidRPr="007B4B28">
              <w:rPr>
                <w:color w:val="212121"/>
                <w:sz w:val="22"/>
                <w:szCs w:val="22"/>
                <w:shd w:val="clear" w:color="auto" w:fill="FFFFFF"/>
                <w:lang w:val="ro-RO"/>
              </w:rPr>
              <w:t>De a completa textul cu indicarea expresă a circumstanțelor în care </w:t>
            </w:r>
            <w:r w:rsidRPr="007B4B28">
              <w:rPr>
                <w:color w:val="333333"/>
                <w:sz w:val="22"/>
                <w:szCs w:val="22"/>
                <w:shd w:val="clear" w:color="auto" w:fill="FFFFFF"/>
                <w:lang w:val="ro-RO"/>
              </w:rPr>
              <w:t>Autoritatea investită cu competente de reglementare și de monitorizare a activităților din sectorul gazelor naturale</w:t>
            </w:r>
            <w:r w:rsidRPr="007B4B28">
              <w:rPr>
                <w:color w:val="212121"/>
                <w:sz w:val="22"/>
                <w:szCs w:val="22"/>
                <w:shd w:val="clear" w:color="auto" w:fill="FFFFFF"/>
                <w:lang w:val="ro-RO"/>
              </w:rPr>
              <w:t>, poate aproba o altă procedură transparentă și nediscriminatorie, în scopul respectării principiului transparenței și reglementării sectorului de gaze naturale;</w:t>
            </w:r>
          </w:p>
        </w:tc>
        <w:tc>
          <w:tcPr>
            <w:cnfStyle w:val="000100000000" w:firstRow="0" w:lastRow="0" w:firstColumn="0" w:lastColumn="1" w:oddVBand="0" w:evenVBand="0" w:oddHBand="0" w:evenHBand="0" w:firstRowFirstColumn="0" w:firstRowLastColumn="0" w:lastRowFirstColumn="0" w:lastRowLastColumn="0"/>
            <w:tcW w:w="1060" w:type="pct"/>
          </w:tcPr>
          <w:p w14:paraId="45B8A788" w14:textId="5BF833F1" w:rsidR="0077611E" w:rsidRPr="008A3E25" w:rsidRDefault="008A3E25" w:rsidP="008A3E25">
            <w:pPr>
              <w:jc w:val="both"/>
              <w:rPr>
                <w:b w:val="0"/>
                <w:sz w:val="22"/>
                <w:szCs w:val="22"/>
                <w:lang w:val="en-GB"/>
              </w:rPr>
            </w:pPr>
            <w:r w:rsidRPr="008A3E25">
              <w:rPr>
                <w:sz w:val="22"/>
                <w:szCs w:val="22"/>
                <w:lang w:val="en-GB"/>
              </w:rPr>
              <w:t xml:space="preserve">Nu se acceptă. </w:t>
            </w:r>
            <w:r w:rsidRPr="008A3E25">
              <w:rPr>
                <w:sz w:val="22"/>
                <w:szCs w:val="22"/>
                <w:lang w:val="ro-MD"/>
              </w:rPr>
              <w:t xml:space="preserve"> </w:t>
            </w:r>
            <w:r w:rsidRPr="008A3E25">
              <w:rPr>
                <w:b w:val="0"/>
                <w:sz w:val="22"/>
                <w:szCs w:val="22"/>
                <w:lang w:val="ro-MD"/>
              </w:rPr>
              <w:t>Agenția poate aproba o altă procedură transparentă și nediscriminatorie decât licitația publică în conformitate cu Regulile pieței gazelor naturale aprobate prin Hotărârea ANRE nr. 534/2019.</w:t>
            </w:r>
          </w:p>
        </w:tc>
      </w:tr>
      <w:tr w:rsidR="0077611E" w:rsidRPr="007B4B28" w14:paraId="5A0C3515" w14:textId="77777777" w:rsidTr="001648D4">
        <w:trPr>
          <w:trHeight w:val="70"/>
        </w:trPr>
        <w:tc>
          <w:tcPr>
            <w:tcW w:w="339" w:type="pct"/>
          </w:tcPr>
          <w:p w14:paraId="4BCDED8E" w14:textId="77777777" w:rsidR="0077611E" w:rsidRPr="007B4B28" w:rsidRDefault="0077611E" w:rsidP="00BB1A04">
            <w:pPr>
              <w:rPr>
                <w:sz w:val="22"/>
                <w:szCs w:val="22"/>
                <w:lang w:val="ro-RO"/>
              </w:rPr>
            </w:pPr>
            <w:r w:rsidRPr="007B4B28">
              <w:rPr>
                <w:sz w:val="22"/>
                <w:szCs w:val="22"/>
                <w:lang w:val="ro-RO"/>
              </w:rPr>
              <w:t>Pct.</w:t>
            </w:r>
          </w:p>
          <w:p w14:paraId="4A7B54C1" w14:textId="40E7F2DC" w:rsidR="0077611E" w:rsidRPr="007B4B28" w:rsidRDefault="0077611E" w:rsidP="00BB1A04">
            <w:pPr>
              <w:rPr>
                <w:sz w:val="22"/>
                <w:szCs w:val="22"/>
                <w:lang w:val="ro-RO"/>
              </w:rPr>
            </w:pPr>
            <w:r w:rsidRPr="007B4B28">
              <w:rPr>
                <w:sz w:val="22"/>
                <w:szCs w:val="22"/>
                <w:lang w:val="ro-RO"/>
              </w:rPr>
              <w:t>433</w:t>
            </w:r>
            <w:r w:rsidRPr="007B4B28">
              <w:rPr>
                <w:sz w:val="22"/>
                <w:szCs w:val="22"/>
                <w:vertAlign w:val="superscript"/>
                <w:lang w:val="ro-RO"/>
              </w:rPr>
              <w:t>35</w:t>
            </w:r>
            <w:r w:rsidRPr="007B4B28">
              <w:rPr>
                <w:sz w:val="22"/>
                <w:szCs w:val="22"/>
                <w:lang w:val="ro-RO"/>
              </w:rPr>
              <w:t xml:space="preserve"> , 433</w:t>
            </w:r>
            <w:r w:rsidRPr="007B4B28">
              <w:rPr>
                <w:sz w:val="22"/>
                <w:szCs w:val="22"/>
                <w:vertAlign w:val="superscript"/>
                <w:lang w:val="ro-RO"/>
              </w:rPr>
              <w:t>39</w:t>
            </w:r>
            <w:r w:rsidRPr="007B4B28">
              <w:rPr>
                <w:sz w:val="22"/>
                <w:szCs w:val="22"/>
                <w:lang w:val="ro-RO"/>
              </w:rPr>
              <w:t xml:space="preserve">        </w:t>
            </w:r>
          </w:p>
        </w:tc>
        <w:tc>
          <w:tcPr>
            <w:tcW w:w="536" w:type="pct"/>
          </w:tcPr>
          <w:p w14:paraId="786F545D" w14:textId="573C6EA3" w:rsidR="0077611E" w:rsidRPr="007B4B28" w:rsidRDefault="0077611E" w:rsidP="00BB1A04">
            <w:pPr>
              <w:rPr>
                <w:sz w:val="22"/>
                <w:szCs w:val="22"/>
                <w:lang w:val="en-GB"/>
              </w:rPr>
            </w:pPr>
            <w:r w:rsidRPr="007B4B28">
              <w:rPr>
                <w:sz w:val="22"/>
                <w:szCs w:val="22"/>
                <w:lang w:val="en-GB"/>
              </w:rPr>
              <w:t>SA “Moldovagaz”</w:t>
            </w:r>
          </w:p>
        </w:tc>
        <w:tc>
          <w:tcPr>
            <w:tcW w:w="1528" w:type="pct"/>
          </w:tcPr>
          <w:p w14:paraId="3A112D32" w14:textId="77777777" w:rsidR="0077611E" w:rsidRPr="007B4B28" w:rsidRDefault="0077611E" w:rsidP="00335651">
            <w:pPr>
              <w:pStyle w:val="NormalWeb"/>
              <w:tabs>
                <w:tab w:val="left" w:pos="851"/>
              </w:tabs>
              <w:ind w:firstLine="0"/>
              <w:rPr>
                <w:sz w:val="22"/>
                <w:szCs w:val="22"/>
                <w:lang w:val="ro-MD"/>
              </w:rPr>
            </w:pPr>
            <w:r w:rsidRPr="007B4B28">
              <w:rPr>
                <w:sz w:val="22"/>
                <w:szCs w:val="22"/>
                <w:lang w:val="ro-MD"/>
              </w:rPr>
              <w:t>OST publică anual informațiile referitoare la serviciile de echilibrare achiziționate și la costurile aferente suportate.</w:t>
            </w:r>
          </w:p>
          <w:p w14:paraId="62047556" w14:textId="75DBC26D" w:rsidR="0077611E" w:rsidRPr="007B4B28" w:rsidRDefault="0077611E" w:rsidP="008A3E25">
            <w:pPr>
              <w:pStyle w:val="NormalWeb"/>
              <w:tabs>
                <w:tab w:val="left" w:pos="851"/>
              </w:tabs>
              <w:ind w:firstLine="0"/>
              <w:rPr>
                <w:bCs/>
                <w:color w:val="000000"/>
                <w:sz w:val="22"/>
                <w:szCs w:val="22"/>
                <w:lang w:val="ro-MD"/>
              </w:rPr>
            </w:pPr>
            <w:r w:rsidRPr="007B4B28">
              <w:rPr>
                <w:sz w:val="22"/>
                <w:szCs w:val="22"/>
                <w:lang w:val="ro-MD"/>
              </w:rPr>
              <w:t>OST publică anual informații privind costurile, frecvența și numărul acțiunilor de echilibrare întreprinse în conformitate cu fiecare dintre cerințele prevăzute la pct. 433</w:t>
            </w:r>
            <w:r w:rsidRPr="007B4B28">
              <w:rPr>
                <w:sz w:val="22"/>
                <w:szCs w:val="22"/>
                <w:vertAlign w:val="superscript"/>
                <w:lang w:val="ro-MD"/>
              </w:rPr>
              <w:t>36</w:t>
            </w:r>
            <w:r w:rsidRPr="007B4B28">
              <w:rPr>
                <w:sz w:val="22"/>
                <w:szCs w:val="22"/>
                <w:lang w:val="ro-MD"/>
              </w:rPr>
              <w:t>, precum și costurile, frecvența și numărul acțiunilor de echilibrare întreprinse în conformitate cu pct.433</w:t>
            </w:r>
            <w:r w:rsidRPr="007B4B28">
              <w:rPr>
                <w:sz w:val="22"/>
                <w:szCs w:val="22"/>
                <w:vertAlign w:val="superscript"/>
                <w:lang w:val="ro-MD"/>
              </w:rPr>
              <w:t>38</w:t>
            </w:r>
          </w:p>
        </w:tc>
        <w:tc>
          <w:tcPr>
            <w:tcW w:w="1537" w:type="pct"/>
          </w:tcPr>
          <w:p w14:paraId="707FA42A" w14:textId="20197A28" w:rsidR="0077611E" w:rsidRPr="007B4B28" w:rsidRDefault="0077611E" w:rsidP="00C45E6F">
            <w:pPr>
              <w:pStyle w:val="NoSpacing"/>
              <w:tabs>
                <w:tab w:val="left" w:pos="0"/>
                <w:tab w:val="left" w:pos="851"/>
              </w:tabs>
              <w:jc w:val="both"/>
              <w:rPr>
                <w:rFonts w:ascii="Times New Roman" w:eastAsia="Times New Roman" w:hAnsi="Times New Roman" w:cs="Times New Roman"/>
                <w:lang w:val="ro-RO" w:eastAsia="ro-RO"/>
              </w:rPr>
            </w:pPr>
            <w:r w:rsidRPr="007B4B28">
              <w:rPr>
                <w:rFonts w:ascii="Times New Roman" w:eastAsia="Times New Roman" w:hAnsi="Times New Roman" w:cs="Times New Roman"/>
                <w:lang w:val="ro-RO" w:eastAsia="ro-RO"/>
              </w:rPr>
              <w:t>după cuvântul „publică” de adăugat textul „</w:t>
            </w:r>
            <w:r w:rsidRPr="007B4B28">
              <w:rPr>
                <w:rFonts w:ascii="Times New Roman" w:eastAsia="Times New Roman" w:hAnsi="Times New Roman" w:cs="Times New Roman"/>
                <w:i/>
                <w:lang w:val="ro-RO" w:eastAsia="ro-RO"/>
              </w:rPr>
              <w:t>pe pagina electronică</w:t>
            </w:r>
            <w:r w:rsidRPr="007B4B28">
              <w:rPr>
                <w:rFonts w:ascii="Times New Roman" w:eastAsia="Times New Roman" w:hAnsi="Times New Roman" w:cs="Times New Roman"/>
                <w:lang w:val="ro-RO" w:eastAsia="ro-RO"/>
              </w:rPr>
              <w:t>”;</w:t>
            </w:r>
          </w:p>
          <w:p w14:paraId="60164054" w14:textId="076BFE9C" w:rsidR="0077611E" w:rsidRPr="007B4B28" w:rsidRDefault="0077611E" w:rsidP="008E0AB4">
            <w:pPr>
              <w:tabs>
                <w:tab w:val="left" w:pos="8820"/>
              </w:tabs>
              <w:jc w:val="both"/>
              <w:rPr>
                <w:color w:val="212121"/>
                <w:sz w:val="22"/>
                <w:szCs w:val="22"/>
                <w:shd w:val="clear" w:color="auto" w:fill="FFFFFF"/>
                <w:lang w:val="ro-RO"/>
              </w:rPr>
            </w:pPr>
          </w:p>
        </w:tc>
        <w:tc>
          <w:tcPr>
            <w:cnfStyle w:val="000100000000" w:firstRow="0" w:lastRow="0" w:firstColumn="0" w:lastColumn="1" w:oddVBand="0" w:evenVBand="0" w:oddHBand="0" w:evenHBand="0" w:firstRowFirstColumn="0" w:firstRowLastColumn="0" w:lastRowFirstColumn="0" w:lastRowLastColumn="0"/>
            <w:tcW w:w="1060" w:type="pct"/>
          </w:tcPr>
          <w:p w14:paraId="50AEB96C" w14:textId="08EB9C28" w:rsidR="0077611E" w:rsidRPr="007B4B28" w:rsidRDefault="00947C18" w:rsidP="00395552">
            <w:pPr>
              <w:jc w:val="both"/>
              <w:rPr>
                <w:sz w:val="22"/>
                <w:szCs w:val="22"/>
                <w:lang w:val="ro-MD"/>
              </w:rPr>
            </w:pPr>
            <w:r>
              <w:rPr>
                <w:sz w:val="22"/>
                <w:szCs w:val="22"/>
                <w:lang w:val="ro-MD"/>
              </w:rPr>
              <w:t>Se acceptă</w:t>
            </w:r>
          </w:p>
        </w:tc>
      </w:tr>
      <w:tr w:rsidR="0077611E" w:rsidRPr="007B4B28" w14:paraId="43D9CAD2" w14:textId="77777777" w:rsidTr="001648D4">
        <w:trPr>
          <w:trHeight w:val="70"/>
        </w:trPr>
        <w:tc>
          <w:tcPr>
            <w:tcW w:w="339" w:type="pct"/>
          </w:tcPr>
          <w:p w14:paraId="26814AEF" w14:textId="2961A66C" w:rsidR="0077611E" w:rsidRPr="007B4B28" w:rsidRDefault="0077611E" w:rsidP="00BB1A04">
            <w:pPr>
              <w:rPr>
                <w:sz w:val="22"/>
                <w:szCs w:val="22"/>
                <w:lang w:val="ro-RO"/>
              </w:rPr>
            </w:pPr>
            <w:r w:rsidRPr="007B4B28">
              <w:rPr>
                <w:sz w:val="22"/>
                <w:szCs w:val="22"/>
                <w:lang w:val="ro-RO" w:eastAsia="ro-RO"/>
              </w:rPr>
              <w:t>Pct. 433</w:t>
            </w:r>
            <w:r w:rsidRPr="007B4B28">
              <w:rPr>
                <w:sz w:val="22"/>
                <w:szCs w:val="22"/>
                <w:vertAlign w:val="superscript"/>
                <w:lang w:val="ro-RO" w:eastAsia="ro-RO"/>
              </w:rPr>
              <w:t>65</w:t>
            </w:r>
            <w:r w:rsidRPr="007B4B28">
              <w:rPr>
                <w:sz w:val="22"/>
                <w:szCs w:val="22"/>
                <w:lang w:val="ro-RO"/>
              </w:rPr>
              <w:t xml:space="preserve"> subpct. 1)</w:t>
            </w:r>
          </w:p>
        </w:tc>
        <w:tc>
          <w:tcPr>
            <w:tcW w:w="536" w:type="pct"/>
          </w:tcPr>
          <w:p w14:paraId="49246C72" w14:textId="577988DE" w:rsidR="0077611E" w:rsidRPr="007B4B28" w:rsidRDefault="0077611E" w:rsidP="00BB1A04">
            <w:pPr>
              <w:rPr>
                <w:sz w:val="22"/>
                <w:szCs w:val="22"/>
                <w:lang w:val="en-GB"/>
              </w:rPr>
            </w:pPr>
            <w:r w:rsidRPr="007B4B28">
              <w:rPr>
                <w:sz w:val="22"/>
                <w:szCs w:val="22"/>
                <w:lang w:val="en-GB"/>
              </w:rPr>
              <w:t>SA “Moldovagaz”</w:t>
            </w:r>
          </w:p>
        </w:tc>
        <w:tc>
          <w:tcPr>
            <w:tcW w:w="1528" w:type="pct"/>
          </w:tcPr>
          <w:p w14:paraId="00E2321B" w14:textId="758D0EAC" w:rsidR="00947C18" w:rsidRPr="00947C18" w:rsidRDefault="00912877" w:rsidP="00BB1A04">
            <w:pPr>
              <w:jc w:val="both"/>
              <w:rPr>
                <w:sz w:val="22"/>
                <w:szCs w:val="22"/>
                <w:lang w:val="ro-MD"/>
              </w:rPr>
            </w:pPr>
            <w:r w:rsidRPr="00947C18">
              <w:rPr>
                <w:sz w:val="22"/>
                <w:szCs w:val="22"/>
                <w:lang w:val="ro-MD"/>
              </w:rPr>
              <w:t xml:space="preserve"> </w:t>
            </w:r>
            <w:r w:rsidR="00947C18" w:rsidRPr="00947C18">
              <w:rPr>
                <w:sz w:val="22"/>
                <w:szCs w:val="22"/>
                <w:lang w:val="ro-MD"/>
              </w:rPr>
              <w:t xml:space="preserve"> În cazul în care nominalizările și renominalizările zilnice și cele orare coexistă într-un punct de interconectare, OST sau autoritățile naționale de reglementare (după caz) pot consulta părțile interesate pentru a stabili oportunitatea prezentării nominalizărilor și renominalizărilor armonizate de ambele părți ale punctului de interconectare. Consultarea trebuie să țină cont de cel puțin următoarele:</w:t>
            </w:r>
          </w:p>
          <w:p w14:paraId="00A8E039" w14:textId="77777777" w:rsidR="00947C18" w:rsidRPr="00947C18" w:rsidRDefault="00947C18" w:rsidP="00BB1A04">
            <w:pPr>
              <w:ind w:firstLine="708"/>
              <w:jc w:val="both"/>
              <w:rPr>
                <w:sz w:val="22"/>
                <w:szCs w:val="22"/>
                <w:lang w:val="ro-MD"/>
              </w:rPr>
            </w:pPr>
            <w:r w:rsidRPr="00947C18">
              <w:rPr>
                <w:sz w:val="22"/>
                <w:szCs w:val="22"/>
                <w:lang w:val="ro-MD"/>
              </w:rPr>
              <w:lastRenderedPageBreak/>
              <w:t>1) impactul financiar asupra OST și asupra utilizatorilor rețelei;</w:t>
            </w:r>
          </w:p>
          <w:p w14:paraId="69AE96D7" w14:textId="77777777" w:rsidR="00947C18" w:rsidRPr="00947C18" w:rsidRDefault="00947C18" w:rsidP="00335651">
            <w:pPr>
              <w:ind w:firstLine="708"/>
              <w:jc w:val="both"/>
              <w:rPr>
                <w:sz w:val="22"/>
                <w:szCs w:val="22"/>
                <w:lang w:val="ro-MD"/>
              </w:rPr>
            </w:pPr>
            <w:r w:rsidRPr="00947C18">
              <w:rPr>
                <w:sz w:val="22"/>
                <w:szCs w:val="22"/>
                <w:lang w:val="ro-MD"/>
              </w:rPr>
              <w:t>2) impactul asupra comerțului transfrontalier;</w:t>
            </w:r>
          </w:p>
          <w:p w14:paraId="15611F0B" w14:textId="37AE5B06" w:rsidR="0077611E" w:rsidRPr="005F771C" w:rsidRDefault="00947C18" w:rsidP="005F771C">
            <w:pPr>
              <w:ind w:firstLine="708"/>
              <w:jc w:val="both"/>
              <w:rPr>
                <w:sz w:val="22"/>
                <w:szCs w:val="22"/>
                <w:lang w:val="ro-MD"/>
              </w:rPr>
            </w:pPr>
            <w:r w:rsidRPr="00947C18">
              <w:rPr>
                <w:sz w:val="22"/>
                <w:szCs w:val="22"/>
                <w:lang w:val="ro-MD"/>
              </w:rPr>
              <w:t>3) impactul asupra regimului de echilibrare zilnică în punctul (punctele) de interconectare.</w:t>
            </w:r>
          </w:p>
        </w:tc>
        <w:tc>
          <w:tcPr>
            <w:tcW w:w="1537" w:type="pct"/>
          </w:tcPr>
          <w:p w14:paraId="7723D8DA" w14:textId="738EBE39" w:rsidR="0077611E" w:rsidRPr="007B4B28" w:rsidRDefault="0077611E" w:rsidP="008E0AB4">
            <w:pPr>
              <w:pStyle w:val="NoSpacing"/>
              <w:tabs>
                <w:tab w:val="left" w:pos="0"/>
                <w:tab w:val="left" w:pos="851"/>
              </w:tabs>
              <w:jc w:val="both"/>
              <w:rPr>
                <w:rFonts w:ascii="Times New Roman" w:eastAsia="Times New Roman" w:hAnsi="Times New Roman" w:cs="Times New Roman"/>
                <w:lang w:val="ro-RO" w:eastAsia="ro-RO"/>
              </w:rPr>
            </w:pPr>
            <w:r w:rsidRPr="007B4B28">
              <w:rPr>
                <w:rFonts w:ascii="Times New Roman" w:hAnsi="Times New Roman" w:cs="Times New Roman"/>
                <w:lang w:val="ro-RO" w:eastAsia="ru-RU"/>
              </w:rPr>
              <w:lastRenderedPageBreak/>
              <w:t>cuvântul „</w:t>
            </w:r>
            <w:r w:rsidRPr="007B4B28">
              <w:rPr>
                <w:rFonts w:ascii="Times New Roman" w:hAnsi="Times New Roman" w:cs="Times New Roman"/>
                <w:i/>
                <w:lang w:val="ro-RO" w:eastAsia="ru-RU"/>
              </w:rPr>
              <w:t>rețelei</w:t>
            </w:r>
            <w:r w:rsidRPr="007B4B28">
              <w:rPr>
                <w:rFonts w:ascii="Times New Roman" w:hAnsi="Times New Roman" w:cs="Times New Roman"/>
                <w:lang w:val="ro-RO" w:eastAsia="ru-RU"/>
              </w:rPr>
              <w:t>” de substituit cu sintagma „</w:t>
            </w:r>
            <w:r w:rsidRPr="007B4B28">
              <w:rPr>
                <w:rFonts w:ascii="Times New Roman" w:hAnsi="Times New Roman" w:cs="Times New Roman"/>
                <w:i/>
                <w:lang w:val="ro-RO" w:eastAsia="ru-RU"/>
              </w:rPr>
              <w:t>de sistem</w:t>
            </w:r>
            <w:r w:rsidRPr="007B4B28">
              <w:rPr>
                <w:rFonts w:ascii="Times New Roman" w:hAnsi="Times New Roman" w:cs="Times New Roman"/>
                <w:lang w:val="ro-RO" w:eastAsia="ru-RU"/>
              </w:rPr>
              <w:t xml:space="preserve">”, în conformitate cu </w:t>
            </w:r>
            <w:r w:rsidRPr="007B4B28">
              <w:rPr>
                <w:rFonts w:ascii="Times New Roman" w:hAnsi="Times New Roman" w:cs="Times New Roman"/>
                <w:lang w:val="ro-RO"/>
              </w:rPr>
              <w:t>Legea nr. 108 din 27.05.2016 cu privire la gazele naturale (în continuare - Legea 108/2016)</w:t>
            </w:r>
            <w:r w:rsidRPr="007B4B28">
              <w:rPr>
                <w:rFonts w:ascii="Times New Roman" w:hAnsi="Times New Roman" w:cs="Times New Roman"/>
                <w:lang w:val="ro-RO" w:eastAsia="ru-RU"/>
              </w:rPr>
              <w:t>;</w:t>
            </w:r>
          </w:p>
          <w:p w14:paraId="49F0A35D" w14:textId="77777777" w:rsidR="0077611E" w:rsidRPr="007B4B28" w:rsidRDefault="0077611E" w:rsidP="00395552">
            <w:pPr>
              <w:pStyle w:val="NoSpacing"/>
              <w:tabs>
                <w:tab w:val="left" w:pos="0"/>
                <w:tab w:val="left" w:pos="851"/>
              </w:tabs>
              <w:ind w:firstLine="567"/>
              <w:jc w:val="both"/>
              <w:rPr>
                <w:rFonts w:ascii="Times New Roman" w:eastAsia="Times New Roman" w:hAnsi="Times New Roman" w:cs="Times New Roman"/>
                <w:lang w:val="ro-RO" w:eastAsia="ro-RO"/>
              </w:rPr>
            </w:pPr>
          </w:p>
        </w:tc>
        <w:tc>
          <w:tcPr>
            <w:cnfStyle w:val="000100000000" w:firstRow="0" w:lastRow="0" w:firstColumn="0" w:lastColumn="1" w:oddVBand="0" w:evenVBand="0" w:oddHBand="0" w:evenHBand="0" w:firstRowFirstColumn="0" w:firstRowLastColumn="0" w:lastRowFirstColumn="0" w:lastRowLastColumn="0"/>
            <w:tcW w:w="1060" w:type="pct"/>
          </w:tcPr>
          <w:p w14:paraId="2FB813BB" w14:textId="0079C1B2" w:rsidR="0077611E" w:rsidRPr="007B4B28" w:rsidRDefault="00312763" w:rsidP="00EF13E1">
            <w:pPr>
              <w:jc w:val="both"/>
              <w:rPr>
                <w:sz w:val="22"/>
                <w:szCs w:val="22"/>
                <w:lang w:val="ro-MD"/>
              </w:rPr>
            </w:pPr>
            <w:r>
              <w:rPr>
                <w:sz w:val="22"/>
                <w:szCs w:val="22"/>
                <w:lang w:val="ro-MD"/>
              </w:rPr>
              <w:t>Se acceptă</w:t>
            </w:r>
          </w:p>
        </w:tc>
      </w:tr>
      <w:tr w:rsidR="0077611E" w:rsidRPr="00511A6A" w14:paraId="337B96C3" w14:textId="77777777" w:rsidTr="001648D4">
        <w:trPr>
          <w:trHeight w:val="70"/>
        </w:trPr>
        <w:tc>
          <w:tcPr>
            <w:tcW w:w="339" w:type="pct"/>
          </w:tcPr>
          <w:p w14:paraId="5789FAD6" w14:textId="77777777" w:rsidR="0077611E" w:rsidRPr="007B4B28" w:rsidRDefault="0077611E" w:rsidP="00BB1A04">
            <w:pPr>
              <w:pStyle w:val="NoSpacing"/>
              <w:tabs>
                <w:tab w:val="left" w:pos="0"/>
                <w:tab w:val="left" w:pos="851"/>
              </w:tabs>
              <w:jc w:val="both"/>
              <w:rPr>
                <w:rFonts w:ascii="Times New Roman" w:hAnsi="Times New Roman" w:cs="Times New Roman"/>
                <w:lang w:val="ro-RO" w:eastAsia="ru-RU"/>
              </w:rPr>
            </w:pPr>
            <w:r w:rsidRPr="007B4B28">
              <w:rPr>
                <w:rFonts w:ascii="Times New Roman" w:hAnsi="Times New Roman" w:cs="Times New Roman"/>
                <w:lang w:val="ro-RO" w:eastAsia="ru-RU"/>
              </w:rPr>
              <w:lastRenderedPageBreak/>
              <w:t>Pct.</w:t>
            </w:r>
          </w:p>
          <w:p w14:paraId="2815D600" w14:textId="56A01D1E" w:rsidR="0077611E" w:rsidRPr="007B4B28" w:rsidRDefault="0077611E" w:rsidP="00BB1A04">
            <w:pPr>
              <w:pStyle w:val="NoSpacing"/>
              <w:tabs>
                <w:tab w:val="left" w:pos="0"/>
                <w:tab w:val="left" w:pos="851"/>
              </w:tabs>
              <w:jc w:val="both"/>
              <w:rPr>
                <w:rFonts w:ascii="Times New Roman" w:hAnsi="Times New Roman" w:cs="Times New Roman"/>
                <w:vertAlign w:val="superscript"/>
                <w:lang w:val="ro-RO" w:eastAsia="ru-RU"/>
              </w:rPr>
            </w:pPr>
            <w:r w:rsidRPr="007B4B28">
              <w:rPr>
                <w:rFonts w:ascii="Times New Roman" w:hAnsi="Times New Roman" w:cs="Times New Roman"/>
                <w:lang w:val="ro-RO" w:eastAsia="ru-RU"/>
              </w:rPr>
              <w:t>433</w:t>
            </w:r>
            <w:r w:rsidRPr="007B4B28">
              <w:rPr>
                <w:rFonts w:ascii="Times New Roman" w:hAnsi="Times New Roman" w:cs="Times New Roman"/>
                <w:vertAlign w:val="superscript"/>
                <w:lang w:val="ro-RO" w:eastAsia="ru-RU"/>
              </w:rPr>
              <w:t>80</w:t>
            </w:r>
          </w:p>
          <w:p w14:paraId="551A827B" w14:textId="77777777" w:rsidR="0077611E" w:rsidRPr="007B4B28" w:rsidRDefault="0077611E" w:rsidP="00BB1A04">
            <w:pPr>
              <w:rPr>
                <w:sz w:val="22"/>
                <w:szCs w:val="22"/>
                <w:lang w:val="ro-RO"/>
              </w:rPr>
            </w:pPr>
            <w:r w:rsidRPr="007B4B28">
              <w:rPr>
                <w:sz w:val="22"/>
                <w:szCs w:val="22"/>
                <w:lang w:val="ro-RO"/>
              </w:rPr>
              <w:t>Subp.2)</w:t>
            </w:r>
          </w:p>
          <w:p w14:paraId="7C6A9100" w14:textId="77777777" w:rsidR="0077611E" w:rsidRPr="007B4B28" w:rsidRDefault="0077611E" w:rsidP="00335651">
            <w:pPr>
              <w:rPr>
                <w:sz w:val="22"/>
                <w:szCs w:val="22"/>
                <w:lang w:val="ro-RO"/>
              </w:rPr>
            </w:pPr>
          </w:p>
          <w:p w14:paraId="564F805D" w14:textId="77777777" w:rsidR="0077611E" w:rsidRPr="007B4B28" w:rsidRDefault="0077611E" w:rsidP="008A3E25">
            <w:pPr>
              <w:rPr>
                <w:sz w:val="22"/>
                <w:szCs w:val="22"/>
                <w:lang w:val="ro-RO"/>
              </w:rPr>
            </w:pPr>
          </w:p>
          <w:p w14:paraId="68BFEB43" w14:textId="77777777" w:rsidR="0077611E" w:rsidRPr="007B4B28" w:rsidRDefault="0077611E" w:rsidP="008A3E25">
            <w:pPr>
              <w:rPr>
                <w:sz w:val="22"/>
                <w:szCs w:val="22"/>
                <w:lang w:val="ro-RO"/>
              </w:rPr>
            </w:pPr>
          </w:p>
          <w:p w14:paraId="3A8A8809" w14:textId="55340A7B" w:rsidR="0077611E" w:rsidRPr="007B4B28" w:rsidRDefault="0077611E" w:rsidP="008A3E25">
            <w:pPr>
              <w:rPr>
                <w:sz w:val="22"/>
                <w:szCs w:val="22"/>
                <w:lang w:val="ro-RO"/>
              </w:rPr>
            </w:pPr>
            <w:r w:rsidRPr="007B4B28">
              <w:rPr>
                <w:sz w:val="22"/>
                <w:szCs w:val="22"/>
                <w:lang w:val="ro-RO"/>
              </w:rPr>
              <w:t>Sbp.2), lit.b)</w:t>
            </w:r>
          </w:p>
          <w:p w14:paraId="37113412" w14:textId="356A1ED4" w:rsidR="0077611E" w:rsidRPr="007B4B28" w:rsidRDefault="0077611E" w:rsidP="008A3E25">
            <w:pPr>
              <w:rPr>
                <w:sz w:val="22"/>
                <w:szCs w:val="22"/>
                <w:lang w:val="ro-RO"/>
              </w:rPr>
            </w:pPr>
          </w:p>
        </w:tc>
        <w:tc>
          <w:tcPr>
            <w:tcW w:w="536" w:type="pct"/>
          </w:tcPr>
          <w:p w14:paraId="2A076D4F" w14:textId="7546B3B1" w:rsidR="0077611E" w:rsidRPr="007B4B28" w:rsidRDefault="0077611E" w:rsidP="008A3E25">
            <w:pPr>
              <w:rPr>
                <w:sz w:val="22"/>
                <w:szCs w:val="22"/>
                <w:lang w:val="en-GB"/>
              </w:rPr>
            </w:pPr>
            <w:r w:rsidRPr="007B4B28">
              <w:rPr>
                <w:sz w:val="22"/>
                <w:szCs w:val="22"/>
                <w:lang w:val="en-GB"/>
              </w:rPr>
              <w:t>SA “Moldovagaz”</w:t>
            </w:r>
          </w:p>
        </w:tc>
        <w:tc>
          <w:tcPr>
            <w:tcW w:w="1528" w:type="pct"/>
          </w:tcPr>
          <w:p w14:paraId="706018FD" w14:textId="77777777" w:rsidR="00912877" w:rsidRPr="007B4B28" w:rsidRDefault="00912877" w:rsidP="008A3E25">
            <w:pPr>
              <w:jc w:val="both"/>
              <w:rPr>
                <w:sz w:val="22"/>
                <w:szCs w:val="22"/>
                <w:lang w:val="ro-MD"/>
              </w:rPr>
            </w:pPr>
            <w:r w:rsidRPr="007B4B28">
              <w:rPr>
                <w:sz w:val="22"/>
                <w:szCs w:val="22"/>
                <w:lang w:val="ro-MD"/>
              </w:rPr>
              <w:t>Calcularea cantității de dezechilibru zilnic se adaptează în consecință în cazul în care:</w:t>
            </w:r>
          </w:p>
          <w:p w14:paraId="31AB9A52" w14:textId="77777777" w:rsidR="00912877" w:rsidRPr="007B4B28" w:rsidRDefault="00912877" w:rsidP="008A3E25">
            <w:pPr>
              <w:jc w:val="both"/>
              <w:rPr>
                <w:sz w:val="22"/>
                <w:szCs w:val="22"/>
                <w:lang w:val="ro-MD"/>
              </w:rPr>
            </w:pPr>
            <w:r w:rsidRPr="007B4B28">
              <w:rPr>
                <w:sz w:val="22"/>
                <w:szCs w:val="22"/>
                <w:lang w:val="ro-MD"/>
              </w:rPr>
              <w:t>1) se oferă un serviciu de flexibilitate prin stocare în conductă; și/sau</w:t>
            </w:r>
          </w:p>
          <w:p w14:paraId="1F4C11BC" w14:textId="77777777" w:rsidR="00912877" w:rsidRPr="007B4B28" w:rsidRDefault="00912877" w:rsidP="008A3E25">
            <w:pPr>
              <w:jc w:val="both"/>
              <w:rPr>
                <w:sz w:val="22"/>
                <w:szCs w:val="22"/>
                <w:lang w:val="ro-MD"/>
              </w:rPr>
            </w:pPr>
            <w:r w:rsidRPr="007B4B28">
              <w:rPr>
                <w:sz w:val="22"/>
                <w:szCs w:val="22"/>
                <w:lang w:val="ro-MD"/>
              </w:rPr>
              <w:t>2) există orice alt tip de contract prin care utilizatorii de sistem furnizează gaze naturale, inclusiv gaze naruale în natură, pentru a acoperi:</w:t>
            </w:r>
          </w:p>
          <w:p w14:paraId="445119E3" w14:textId="77777777" w:rsidR="00912877" w:rsidRPr="007B4B28" w:rsidRDefault="00912877" w:rsidP="008A3E25">
            <w:pPr>
              <w:jc w:val="both"/>
              <w:rPr>
                <w:sz w:val="22"/>
                <w:szCs w:val="22"/>
                <w:lang w:val="ro-MD"/>
              </w:rPr>
            </w:pPr>
            <w:r w:rsidRPr="007B4B28">
              <w:rPr>
                <w:sz w:val="22"/>
                <w:szCs w:val="22"/>
                <w:lang w:val="ro-MD"/>
              </w:rPr>
              <w:t>a) cantitatea care nu figurează ca fiind preluată din sistem, cum ar fi pierderile, erorile de măsurare; și/sau</w:t>
            </w:r>
          </w:p>
          <w:p w14:paraId="79F93036" w14:textId="4D998494" w:rsidR="0077611E" w:rsidRPr="008A3E25" w:rsidRDefault="00912877" w:rsidP="008A3E25">
            <w:pPr>
              <w:jc w:val="both"/>
              <w:rPr>
                <w:sz w:val="22"/>
                <w:szCs w:val="22"/>
                <w:lang w:val="ro-MD"/>
              </w:rPr>
            </w:pPr>
            <w:r w:rsidRPr="007B4B28">
              <w:rPr>
                <w:sz w:val="22"/>
                <w:szCs w:val="22"/>
                <w:lang w:val="ro-MD"/>
              </w:rPr>
              <w:t>b) gazele naturale utilizat de OST pentru exploatarea sistemului, precum combustibil gazos.</w:t>
            </w:r>
          </w:p>
        </w:tc>
        <w:tc>
          <w:tcPr>
            <w:tcW w:w="1537" w:type="pct"/>
          </w:tcPr>
          <w:p w14:paraId="34AC059F" w14:textId="3B59CD46" w:rsidR="0077611E" w:rsidRPr="00511A6A" w:rsidRDefault="0077611E" w:rsidP="008A3E25">
            <w:pPr>
              <w:pStyle w:val="NoSpacing"/>
              <w:tabs>
                <w:tab w:val="left" w:pos="0"/>
                <w:tab w:val="left" w:pos="851"/>
                <w:tab w:val="left" w:pos="1134"/>
              </w:tabs>
              <w:jc w:val="both"/>
              <w:rPr>
                <w:rFonts w:ascii="Times New Roman" w:hAnsi="Times New Roman" w:cs="Times New Roman"/>
                <w:lang w:val="ro-RO" w:eastAsia="ru-RU"/>
              </w:rPr>
            </w:pPr>
            <w:r w:rsidRPr="00511A6A">
              <w:rPr>
                <w:rFonts w:ascii="Times New Roman" w:hAnsi="Times New Roman" w:cs="Times New Roman"/>
                <w:lang w:val="ro-RO" w:eastAsia="ru-RU"/>
              </w:rPr>
              <w:t>Textul „</w:t>
            </w:r>
            <w:r w:rsidRPr="00511A6A">
              <w:rPr>
                <w:rFonts w:ascii="Times New Roman" w:hAnsi="Times New Roman" w:cs="Times New Roman"/>
                <w:i/>
                <w:lang w:val="ro-RO"/>
              </w:rPr>
              <w:t xml:space="preserve">care utilizatorii de sistem </w:t>
            </w:r>
            <w:r w:rsidRPr="00511A6A">
              <w:rPr>
                <w:rFonts w:ascii="Times New Roman" w:hAnsi="Times New Roman" w:cs="Times New Roman"/>
                <w:b/>
                <w:bCs/>
                <w:i/>
                <w:lang w:val="ro-RO"/>
              </w:rPr>
              <w:t>furnizează</w:t>
            </w:r>
            <w:r w:rsidRPr="00511A6A">
              <w:rPr>
                <w:rFonts w:ascii="Times New Roman" w:hAnsi="Times New Roman" w:cs="Times New Roman"/>
                <w:i/>
                <w:lang w:val="ro-RO"/>
              </w:rPr>
              <w:t xml:space="preserve"> gaze naturale, inclusiv gaze naruale în natură, pentru a acoperi</w:t>
            </w:r>
            <w:r w:rsidRPr="00511A6A">
              <w:rPr>
                <w:rFonts w:ascii="Times New Roman" w:hAnsi="Times New Roman" w:cs="Times New Roman"/>
                <w:lang w:val="en-US"/>
              </w:rPr>
              <w:t>”</w:t>
            </w:r>
            <w:r w:rsidRPr="00511A6A">
              <w:rPr>
                <w:rFonts w:ascii="Times New Roman" w:hAnsi="Times New Roman" w:cs="Times New Roman"/>
                <w:lang w:val="ro-RO"/>
              </w:rPr>
              <w:t xml:space="preserve"> de substituit cu textul „</w:t>
            </w:r>
            <w:r w:rsidRPr="00511A6A">
              <w:rPr>
                <w:rFonts w:ascii="Times New Roman" w:hAnsi="Times New Roman" w:cs="Times New Roman"/>
                <w:i/>
                <w:lang w:val="ro-RO"/>
              </w:rPr>
              <w:t>există orice alt tip de contract prin care</w:t>
            </w:r>
            <w:r w:rsidRPr="00511A6A">
              <w:rPr>
                <w:rFonts w:ascii="Times New Roman" w:hAnsi="Times New Roman" w:cs="Times New Roman"/>
                <w:i/>
                <w:u w:val="single"/>
                <w:lang w:val="ro-RO"/>
              </w:rPr>
              <w:t xml:space="preserve"> utilizatorii de sistem</w:t>
            </w:r>
            <w:r w:rsidRPr="00511A6A">
              <w:rPr>
                <w:rFonts w:ascii="Times New Roman" w:hAnsi="Times New Roman" w:cs="Times New Roman"/>
                <w:i/>
                <w:lang w:val="ro-RO"/>
              </w:rPr>
              <w:t xml:space="preserve"> </w:t>
            </w:r>
            <w:r w:rsidRPr="00511A6A">
              <w:rPr>
                <w:rFonts w:ascii="Times New Roman" w:hAnsi="Times New Roman" w:cs="Times New Roman"/>
                <w:b/>
                <w:bCs/>
                <w:i/>
                <w:lang w:val="ro-RO"/>
              </w:rPr>
              <w:t>livrează</w:t>
            </w:r>
            <w:r w:rsidRPr="00511A6A">
              <w:rPr>
                <w:rFonts w:ascii="Times New Roman" w:hAnsi="Times New Roman" w:cs="Times New Roman"/>
                <w:i/>
                <w:lang w:val="ro-RO"/>
              </w:rPr>
              <w:t xml:space="preserve"> gaze naturale, inclusiv gaze naturale operaționale, pentru a acoperi”</w:t>
            </w:r>
            <w:r w:rsidRPr="00511A6A">
              <w:rPr>
                <w:rFonts w:ascii="Times New Roman" w:hAnsi="Times New Roman" w:cs="Times New Roman"/>
                <w:lang w:val="ro-RO"/>
              </w:rPr>
              <w:t>,</w:t>
            </w:r>
          </w:p>
          <w:p w14:paraId="68BD6A82" w14:textId="77777777" w:rsidR="00312763" w:rsidRPr="00511A6A" w:rsidRDefault="00312763" w:rsidP="008A3E25">
            <w:pPr>
              <w:pStyle w:val="NoSpacing"/>
              <w:tabs>
                <w:tab w:val="left" w:pos="0"/>
                <w:tab w:val="left" w:pos="851"/>
              </w:tabs>
              <w:jc w:val="both"/>
              <w:rPr>
                <w:rFonts w:ascii="Times New Roman" w:hAnsi="Times New Roman" w:cs="Times New Roman"/>
                <w:lang w:val="ro-RO" w:eastAsia="ru-RU"/>
              </w:rPr>
            </w:pPr>
          </w:p>
          <w:p w14:paraId="1342765D" w14:textId="12A09EE2" w:rsidR="00312763" w:rsidRPr="00511A6A" w:rsidRDefault="00312763" w:rsidP="008A3E25">
            <w:pPr>
              <w:pStyle w:val="NoSpacing"/>
              <w:tabs>
                <w:tab w:val="left" w:pos="0"/>
                <w:tab w:val="left" w:pos="851"/>
              </w:tabs>
              <w:jc w:val="both"/>
              <w:rPr>
                <w:rFonts w:ascii="Times New Roman" w:hAnsi="Times New Roman" w:cs="Times New Roman"/>
                <w:lang w:val="ro-RO" w:eastAsia="ru-RU"/>
              </w:rPr>
            </w:pPr>
          </w:p>
          <w:p w14:paraId="67BB7084" w14:textId="66EFA965" w:rsidR="0077611E" w:rsidRPr="00511A6A" w:rsidRDefault="0077611E" w:rsidP="008A3E25">
            <w:pPr>
              <w:pStyle w:val="NoSpacing"/>
              <w:tabs>
                <w:tab w:val="left" w:pos="0"/>
                <w:tab w:val="left" w:pos="851"/>
              </w:tabs>
              <w:jc w:val="both"/>
              <w:rPr>
                <w:rFonts w:ascii="Times New Roman" w:eastAsia="Times New Roman" w:hAnsi="Times New Roman" w:cs="Times New Roman"/>
                <w:lang w:val="ro-RO" w:eastAsia="ro-RO"/>
              </w:rPr>
            </w:pPr>
            <w:r w:rsidRPr="00511A6A">
              <w:rPr>
                <w:rFonts w:ascii="Times New Roman" w:hAnsi="Times New Roman" w:cs="Times New Roman"/>
                <w:lang w:val="ro-RO" w:eastAsia="ru-RU"/>
              </w:rPr>
              <w:t>Textul „</w:t>
            </w:r>
            <w:r w:rsidRPr="00511A6A">
              <w:rPr>
                <w:rFonts w:ascii="Times New Roman" w:hAnsi="Times New Roman" w:cs="Times New Roman"/>
                <w:i/>
                <w:lang w:val="ro-RO"/>
              </w:rPr>
              <w:t>precum combustibil gazos</w:t>
            </w:r>
            <w:r w:rsidRPr="00511A6A">
              <w:rPr>
                <w:rFonts w:ascii="Times New Roman" w:hAnsi="Times New Roman" w:cs="Times New Roman"/>
                <w:lang w:val="en-US"/>
              </w:rPr>
              <w:t xml:space="preserve">”de </w:t>
            </w:r>
            <w:r w:rsidRPr="00511A6A">
              <w:rPr>
                <w:rFonts w:ascii="Times New Roman" w:hAnsi="Times New Roman" w:cs="Times New Roman"/>
                <w:lang w:val="ro-RO" w:eastAsia="ru-RU"/>
              </w:rPr>
              <w:t>substituit cu textul</w:t>
            </w:r>
            <w:r w:rsidRPr="00511A6A">
              <w:rPr>
                <w:rFonts w:ascii="Times New Roman" w:hAnsi="Times New Roman" w:cs="Times New Roman"/>
                <w:lang w:val="ro-RO"/>
              </w:rPr>
              <w:t xml:space="preserve"> „</w:t>
            </w:r>
            <w:r w:rsidRPr="00511A6A">
              <w:rPr>
                <w:rFonts w:ascii="Times New Roman" w:hAnsi="Times New Roman" w:cs="Times New Roman"/>
                <w:i/>
                <w:lang w:val="ro-RO" w:eastAsia="ru-RU"/>
              </w:rPr>
              <w:t>cum ar fi gazele naturale pentru necesități proprii</w:t>
            </w:r>
            <w:r w:rsidRPr="00511A6A">
              <w:rPr>
                <w:rFonts w:ascii="Times New Roman" w:hAnsi="Times New Roman" w:cs="Times New Roman"/>
                <w:lang w:val="ro-RO" w:eastAsia="ru-RU"/>
              </w:rPr>
              <w:t>”</w:t>
            </w:r>
          </w:p>
        </w:tc>
        <w:tc>
          <w:tcPr>
            <w:cnfStyle w:val="000100000000" w:firstRow="0" w:lastRow="0" w:firstColumn="0" w:lastColumn="1" w:oddVBand="0" w:evenVBand="0" w:oddHBand="0" w:evenHBand="0" w:firstRowFirstColumn="0" w:firstRowLastColumn="0" w:lastRowFirstColumn="0" w:lastRowLastColumn="0"/>
            <w:tcW w:w="1060" w:type="pct"/>
          </w:tcPr>
          <w:p w14:paraId="47F1D434" w14:textId="72BB59D5" w:rsidR="002D3873" w:rsidRPr="00511A6A" w:rsidRDefault="00C5271B" w:rsidP="00BB1A04">
            <w:pPr>
              <w:jc w:val="both"/>
              <w:rPr>
                <w:b w:val="0"/>
                <w:bCs w:val="0"/>
                <w:sz w:val="22"/>
                <w:szCs w:val="22"/>
                <w:lang w:val="en-GB"/>
              </w:rPr>
            </w:pPr>
            <w:r w:rsidRPr="00511A6A">
              <w:rPr>
                <w:sz w:val="22"/>
                <w:szCs w:val="22"/>
                <w:lang w:val="en-GB"/>
              </w:rPr>
              <w:t>Nu s</w:t>
            </w:r>
            <w:r w:rsidR="003A1871" w:rsidRPr="00511A6A">
              <w:rPr>
                <w:sz w:val="22"/>
                <w:szCs w:val="22"/>
                <w:lang w:val="en-GB"/>
              </w:rPr>
              <w:t>e acceptă</w:t>
            </w:r>
          </w:p>
          <w:p w14:paraId="468AB872" w14:textId="37E3989C" w:rsidR="00C5271B" w:rsidRPr="00511A6A" w:rsidRDefault="00E67E80" w:rsidP="00C5271B">
            <w:pPr>
              <w:jc w:val="both"/>
              <w:rPr>
                <w:b w:val="0"/>
                <w:bCs w:val="0"/>
                <w:sz w:val="22"/>
                <w:szCs w:val="22"/>
                <w:lang w:val="en-GB"/>
              </w:rPr>
            </w:pPr>
            <w:r w:rsidRPr="00511A6A">
              <w:rPr>
                <w:b w:val="0"/>
                <w:bCs w:val="0"/>
                <w:sz w:val="22"/>
                <w:szCs w:val="22"/>
                <w:lang w:val="en-GB"/>
              </w:rPr>
              <w:t>Nu corespunde textului Regulamentului UE 312/2014</w:t>
            </w:r>
          </w:p>
          <w:p w14:paraId="7B9A55A0" w14:textId="5102C16A" w:rsidR="00C5271B" w:rsidRPr="00511A6A" w:rsidRDefault="008A3E25" w:rsidP="00C5271B">
            <w:pPr>
              <w:jc w:val="both"/>
              <w:rPr>
                <w:b w:val="0"/>
                <w:sz w:val="22"/>
                <w:szCs w:val="22"/>
                <w:lang w:val="en-GB"/>
              </w:rPr>
            </w:pPr>
            <w:r w:rsidRPr="00511A6A">
              <w:rPr>
                <w:b w:val="0"/>
                <w:bCs w:val="0"/>
                <w:sz w:val="22"/>
                <w:szCs w:val="22"/>
                <w:lang w:val="en-GB"/>
              </w:rPr>
              <w:t>Utilizatorii de sistem</w:t>
            </w:r>
            <w:r w:rsidR="00E67E80" w:rsidRPr="00511A6A">
              <w:rPr>
                <w:b w:val="0"/>
                <w:bCs w:val="0"/>
                <w:sz w:val="22"/>
                <w:szCs w:val="22"/>
                <w:lang w:val="en-GB"/>
              </w:rPr>
              <w:t xml:space="preserve"> nu</w:t>
            </w:r>
            <w:r w:rsidR="00C5271B" w:rsidRPr="00511A6A">
              <w:rPr>
                <w:sz w:val="22"/>
                <w:szCs w:val="22"/>
                <w:lang w:val="en-GB"/>
              </w:rPr>
              <w:t xml:space="preserve"> </w:t>
            </w:r>
            <w:r w:rsidR="00C5271B" w:rsidRPr="00511A6A">
              <w:rPr>
                <w:b w:val="0"/>
                <w:sz w:val="22"/>
                <w:szCs w:val="22"/>
                <w:lang w:val="en-GB"/>
              </w:rPr>
              <w:t>livrează gaze naturale</w:t>
            </w:r>
            <w:r w:rsidRPr="00511A6A">
              <w:rPr>
                <w:b w:val="0"/>
                <w:sz w:val="22"/>
                <w:szCs w:val="22"/>
                <w:lang w:val="en-GB"/>
              </w:rPr>
              <w:t>.</w:t>
            </w:r>
          </w:p>
          <w:p w14:paraId="681F346D" w14:textId="77777777" w:rsidR="00C5271B" w:rsidRPr="00511A6A" w:rsidRDefault="00C5271B" w:rsidP="00C5271B">
            <w:pPr>
              <w:jc w:val="both"/>
              <w:rPr>
                <w:b w:val="0"/>
                <w:bCs w:val="0"/>
                <w:sz w:val="22"/>
                <w:szCs w:val="22"/>
                <w:lang w:val="en-GB"/>
              </w:rPr>
            </w:pPr>
          </w:p>
          <w:p w14:paraId="0022AF9A" w14:textId="77777777" w:rsidR="00C5271B" w:rsidRPr="00511A6A" w:rsidRDefault="00C5271B" w:rsidP="00C5271B">
            <w:pPr>
              <w:jc w:val="both"/>
              <w:rPr>
                <w:sz w:val="22"/>
                <w:szCs w:val="22"/>
                <w:lang w:val="en-GB"/>
              </w:rPr>
            </w:pPr>
          </w:p>
          <w:p w14:paraId="028FE474" w14:textId="77777777" w:rsidR="0077611E" w:rsidRPr="00511A6A" w:rsidRDefault="0077611E" w:rsidP="00C5271B">
            <w:pPr>
              <w:jc w:val="both"/>
              <w:rPr>
                <w:sz w:val="22"/>
                <w:szCs w:val="22"/>
                <w:lang w:val="ro-MD"/>
              </w:rPr>
            </w:pPr>
          </w:p>
          <w:p w14:paraId="0B4F8A52" w14:textId="77777777" w:rsidR="00E67E80" w:rsidRPr="00511A6A" w:rsidRDefault="00E67E80" w:rsidP="00E67E80">
            <w:pPr>
              <w:jc w:val="both"/>
              <w:rPr>
                <w:b w:val="0"/>
                <w:bCs w:val="0"/>
                <w:sz w:val="22"/>
                <w:szCs w:val="22"/>
                <w:lang w:val="en-GB"/>
              </w:rPr>
            </w:pPr>
            <w:r w:rsidRPr="00511A6A">
              <w:rPr>
                <w:sz w:val="22"/>
                <w:szCs w:val="22"/>
                <w:lang w:val="en-GB"/>
              </w:rPr>
              <w:t>Nu se acceptă</w:t>
            </w:r>
          </w:p>
          <w:p w14:paraId="1CD85D2F" w14:textId="1C7C6AC8" w:rsidR="002D3873" w:rsidRPr="00511A6A" w:rsidRDefault="00E67E80" w:rsidP="00E67E80">
            <w:pPr>
              <w:jc w:val="both"/>
              <w:rPr>
                <w:b w:val="0"/>
                <w:bCs w:val="0"/>
                <w:sz w:val="22"/>
                <w:szCs w:val="22"/>
                <w:lang w:val="en-GB"/>
              </w:rPr>
            </w:pPr>
            <w:r w:rsidRPr="00511A6A">
              <w:rPr>
                <w:b w:val="0"/>
                <w:bCs w:val="0"/>
                <w:sz w:val="22"/>
                <w:szCs w:val="22"/>
                <w:lang w:val="en-GB"/>
              </w:rPr>
              <w:t>Nu corespunde textului Regulamentului UE 312/2014.</w:t>
            </w:r>
          </w:p>
        </w:tc>
      </w:tr>
      <w:tr w:rsidR="0077611E" w:rsidRPr="00C45E6F" w14:paraId="06B310DF" w14:textId="77777777" w:rsidTr="001648D4">
        <w:trPr>
          <w:trHeight w:val="70"/>
        </w:trPr>
        <w:tc>
          <w:tcPr>
            <w:tcW w:w="339" w:type="pct"/>
          </w:tcPr>
          <w:p w14:paraId="3D72AC90" w14:textId="77777777" w:rsidR="0077611E" w:rsidRPr="007B4B28" w:rsidRDefault="0077611E" w:rsidP="00BB1A04">
            <w:pPr>
              <w:pStyle w:val="NoSpacing"/>
              <w:tabs>
                <w:tab w:val="left" w:pos="0"/>
                <w:tab w:val="left" w:pos="851"/>
              </w:tabs>
              <w:jc w:val="both"/>
              <w:rPr>
                <w:rFonts w:ascii="Times New Roman" w:hAnsi="Times New Roman" w:cs="Times New Roman"/>
                <w:lang w:val="ro-RO" w:eastAsia="ru-RU"/>
              </w:rPr>
            </w:pPr>
            <w:r w:rsidRPr="007B4B28">
              <w:rPr>
                <w:rFonts w:ascii="Times New Roman" w:hAnsi="Times New Roman" w:cs="Times New Roman"/>
                <w:lang w:val="ro-RO" w:eastAsia="ru-RU"/>
              </w:rPr>
              <w:t>Pct.</w:t>
            </w:r>
          </w:p>
          <w:p w14:paraId="57752116" w14:textId="047CA92C" w:rsidR="0077611E" w:rsidRPr="007B4B28" w:rsidRDefault="0077611E" w:rsidP="00BB1A04">
            <w:pPr>
              <w:pStyle w:val="NoSpacing"/>
              <w:tabs>
                <w:tab w:val="left" w:pos="0"/>
                <w:tab w:val="left" w:pos="851"/>
              </w:tabs>
              <w:jc w:val="both"/>
              <w:rPr>
                <w:rFonts w:ascii="Times New Roman" w:hAnsi="Times New Roman" w:cs="Times New Roman"/>
                <w:vertAlign w:val="superscript"/>
                <w:lang w:val="ro-RO" w:eastAsia="ru-RU"/>
              </w:rPr>
            </w:pPr>
            <w:r w:rsidRPr="007B4B28">
              <w:rPr>
                <w:rFonts w:ascii="Times New Roman" w:hAnsi="Times New Roman" w:cs="Times New Roman"/>
                <w:lang w:val="ro-RO" w:eastAsia="ru-RU"/>
              </w:rPr>
              <w:t>433</w:t>
            </w:r>
            <w:r w:rsidRPr="007B4B28">
              <w:rPr>
                <w:rFonts w:ascii="Times New Roman" w:hAnsi="Times New Roman" w:cs="Times New Roman"/>
                <w:vertAlign w:val="superscript"/>
                <w:lang w:val="ro-RO" w:eastAsia="ru-RU"/>
              </w:rPr>
              <w:t>81</w:t>
            </w:r>
          </w:p>
        </w:tc>
        <w:tc>
          <w:tcPr>
            <w:tcW w:w="536" w:type="pct"/>
          </w:tcPr>
          <w:p w14:paraId="4383321E" w14:textId="175E30B9" w:rsidR="0077611E" w:rsidRPr="007B4B28" w:rsidRDefault="0077611E" w:rsidP="00BB1A04">
            <w:pPr>
              <w:rPr>
                <w:sz w:val="22"/>
                <w:szCs w:val="22"/>
                <w:lang w:val="en-GB"/>
              </w:rPr>
            </w:pPr>
            <w:r w:rsidRPr="007B4B28">
              <w:rPr>
                <w:sz w:val="22"/>
                <w:szCs w:val="22"/>
                <w:lang w:val="en-GB"/>
              </w:rPr>
              <w:t>SA “Moldovagaz”</w:t>
            </w:r>
          </w:p>
        </w:tc>
        <w:tc>
          <w:tcPr>
            <w:tcW w:w="1528" w:type="pct"/>
          </w:tcPr>
          <w:p w14:paraId="1B267CAC" w14:textId="5A120383" w:rsidR="0077611E" w:rsidRPr="007B4B28" w:rsidRDefault="00912877" w:rsidP="00335651">
            <w:pPr>
              <w:pStyle w:val="NormalWeb"/>
              <w:tabs>
                <w:tab w:val="left" w:pos="851"/>
              </w:tabs>
              <w:ind w:firstLine="0"/>
              <w:rPr>
                <w:bCs/>
                <w:color w:val="000000"/>
                <w:sz w:val="22"/>
                <w:szCs w:val="22"/>
                <w:lang w:val="ro-MD"/>
              </w:rPr>
            </w:pPr>
            <w:r w:rsidRPr="007B4B28">
              <w:rPr>
                <w:sz w:val="22"/>
                <w:szCs w:val="22"/>
                <w:lang w:val="ro-MD"/>
              </w:rPr>
              <w:t>Dacă suma intrărilor unui utilizator de sistem pentru ziua gazieră este egală cu suma ieșirilor sale pentru ziua gazieră respectivă, utilizatorul de sistem este considerat a fi echilibrat pentru ziua gazieră respectivă.</w:t>
            </w:r>
          </w:p>
        </w:tc>
        <w:tc>
          <w:tcPr>
            <w:tcW w:w="1537" w:type="pct"/>
          </w:tcPr>
          <w:p w14:paraId="4C5B4D3F" w14:textId="04526909" w:rsidR="0077611E" w:rsidRPr="007B4B28" w:rsidRDefault="0077611E" w:rsidP="008A3E25">
            <w:pPr>
              <w:pStyle w:val="NoSpacing"/>
              <w:tabs>
                <w:tab w:val="left" w:pos="0"/>
                <w:tab w:val="left" w:pos="851"/>
              </w:tabs>
              <w:jc w:val="both"/>
              <w:rPr>
                <w:rFonts w:ascii="Times New Roman" w:hAnsi="Times New Roman" w:cs="Times New Roman"/>
                <w:lang w:val="ro-RO"/>
              </w:rPr>
            </w:pPr>
            <w:r w:rsidRPr="007B4B28">
              <w:rPr>
                <w:rFonts w:ascii="Times New Roman" w:hAnsi="Times New Roman" w:cs="Times New Roman"/>
                <w:lang w:val="ro-RO"/>
              </w:rPr>
              <w:t>De modificat și de expus în următoarea redacție: „</w:t>
            </w:r>
            <w:r w:rsidRPr="007B4B28">
              <w:rPr>
                <w:rFonts w:ascii="Times New Roman" w:hAnsi="Times New Roman" w:cs="Times New Roman"/>
                <w:i/>
                <w:lang w:val="ro-RO" w:eastAsia="ru-RU"/>
              </w:rPr>
              <w:t>Dacă suma cantităților de gaze naturale ale utilizatorului de sistem intrate în rețeaua de transport al gazelor naturale în ziua gazieră este egală cu suma cantităților de gaze naturale ale utilizatorului de sistem ieșite din rețeaua de transport al gazelor naturale în ziua gazieră respectivă, utilizatorul de sistem este considerat a fi echilibrat pentru ziua gazieră respectivă</w:t>
            </w:r>
            <w:r w:rsidRPr="007B4B28">
              <w:rPr>
                <w:rFonts w:ascii="Times New Roman" w:hAnsi="Times New Roman" w:cs="Times New Roman"/>
                <w:lang w:val="ro-RO" w:eastAsia="ru-RU"/>
              </w:rPr>
              <w:t xml:space="preserve">.”, în conformitate cu pct. 139 </w:t>
            </w:r>
            <w:r w:rsidRPr="007B4B28">
              <w:rPr>
                <w:rFonts w:ascii="Times New Roman" w:hAnsi="Times New Roman" w:cs="Times New Roman"/>
                <w:lang w:val="ro-RO"/>
              </w:rPr>
              <w:t>din Reguli;</w:t>
            </w:r>
          </w:p>
          <w:p w14:paraId="2E8988CF" w14:textId="71F8F466" w:rsidR="0077611E" w:rsidRPr="007B4B28" w:rsidRDefault="0077611E" w:rsidP="008A3E25">
            <w:pPr>
              <w:pStyle w:val="NoSpacing"/>
              <w:tabs>
                <w:tab w:val="left" w:pos="0"/>
                <w:tab w:val="left" w:pos="851"/>
                <w:tab w:val="left" w:pos="1134"/>
              </w:tabs>
              <w:jc w:val="both"/>
              <w:rPr>
                <w:rFonts w:ascii="Times New Roman" w:hAnsi="Times New Roman" w:cs="Times New Roman"/>
                <w:i/>
                <w:lang w:val="ro-RO"/>
              </w:rPr>
            </w:pPr>
          </w:p>
        </w:tc>
        <w:tc>
          <w:tcPr>
            <w:cnfStyle w:val="000100000000" w:firstRow="0" w:lastRow="0" w:firstColumn="0" w:lastColumn="1" w:oddVBand="0" w:evenVBand="0" w:oddHBand="0" w:evenHBand="0" w:firstRowFirstColumn="0" w:firstRowLastColumn="0" w:lastRowFirstColumn="0" w:lastRowLastColumn="0"/>
            <w:tcW w:w="1060" w:type="pct"/>
          </w:tcPr>
          <w:p w14:paraId="6D523B1F" w14:textId="36B774DB" w:rsidR="0077611E" w:rsidRPr="007B4B28" w:rsidRDefault="008E0AB4" w:rsidP="008A3E25">
            <w:pPr>
              <w:jc w:val="both"/>
              <w:rPr>
                <w:sz w:val="22"/>
                <w:szCs w:val="22"/>
                <w:lang w:val="ro-MD"/>
              </w:rPr>
            </w:pPr>
            <w:r>
              <w:rPr>
                <w:sz w:val="22"/>
                <w:szCs w:val="22"/>
                <w:lang w:val="ro-MD"/>
              </w:rPr>
              <w:t>Se acceptă</w:t>
            </w:r>
          </w:p>
        </w:tc>
      </w:tr>
      <w:tr w:rsidR="0077611E" w:rsidRPr="007B4B28" w14:paraId="0075D053" w14:textId="77777777" w:rsidTr="001648D4">
        <w:trPr>
          <w:trHeight w:val="70"/>
        </w:trPr>
        <w:tc>
          <w:tcPr>
            <w:tcW w:w="339" w:type="pct"/>
          </w:tcPr>
          <w:p w14:paraId="18B2658F" w14:textId="62EB5314" w:rsidR="0077611E" w:rsidRPr="007B4B28" w:rsidRDefault="0077611E" w:rsidP="00BB1A04">
            <w:pPr>
              <w:pStyle w:val="NoSpacing"/>
              <w:tabs>
                <w:tab w:val="left" w:pos="0"/>
                <w:tab w:val="left" w:pos="851"/>
              </w:tabs>
              <w:jc w:val="both"/>
              <w:rPr>
                <w:rFonts w:ascii="Times New Roman" w:hAnsi="Times New Roman" w:cs="Times New Roman"/>
                <w:lang w:val="ro-RO" w:eastAsia="ru-RU"/>
              </w:rPr>
            </w:pPr>
            <w:r w:rsidRPr="007B4B28">
              <w:rPr>
                <w:rFonts w:ascii="Times New Roman" w:hAnsi="Times New Roman" w:cs="Times New Roman"/>
                <w:lang w:val="ro-RO"/>
              </w:rPr>
              <w:t>Pct. 433</w:t>
            </w:r>
            <w:r w:rsidRPr="007B4B28">
              <w:rPr>
                <w:rFonts w:ascii="Times New Roman" w:hAnsi="Times New Roman" w:cs="Times New Roman"/>
                <w:vertAlign w:val="superscript"/>
                <w:lang w:val="ro-RO"/>
              </w:rPr>
              <w:t>82</w:t>
            </w:r>
          </w:p>
        </w:tc>
        <w:tc>
          <w:tcPr>
            <w:tcW w:w="536" w:type="pct"/>
          </w:tcPr>
          <w:p w14:paraId="0EEECF22" w14:textId="793B079F" w:rsidR="0077611E" w:rsidRPr="007B4B28" w:rsidRDefault="0077611E" w:rsidP="00BB1A04">
            <w:pPr>
              <w:rPr>
                <w:sz w:val="22"/>
                <w:szCs w:val="22"/>
                <w:lang w:val="en-GB"/>
              </w:rPr>
            </w:pPr>
            <w:r w:rsidRPr="007B4B28">
              <w:rPr>
                <w:sz w:val="22"/>
                <w:szCs w:val="22"/>
                <w:lang w:val="en-GB"/>
              </w:rPr>
              <w:t>SA “Moldovagaz”</w:t>
            </w:r>
          </w:p>
        </w:tc>
        <w:tc>
          <w:tcPr>
            <w:tcW w:w="1528" w:type="pct"/>
          </w:tcPr>
          <w:p w14:paraId="7A8CF6F5" w14:textId="2C54ECE7" w:rsidR="0077611E" w:rsidRPr="007B4B28" w:rsidRDefault="00912877" w:rsidP="00BB1A04">
            <w:pPr>
              <w:pStyle w:val="NormalWeb"/>
              <w:tabs>
                <w:tab w:val="left" w:pos="851"/>
              </w:tabs>
              <w:ind w:firstLine="0"/>
              <w:rPr>
                <w:bCs/>
                <w:color w:val="000000"/>
                <w:sz w:val="22"/>
                <w:szCs w:val="22"/>
                <w:lang w:val="ro-MD"/>
              </w:rPr>
            </w:pPr>
            <w:r w:rsidRPr="007B4B28">
              <w:rPr>
                <w:sz w:val="22"/>
                <w:szCs w:val="22"/>
                <w:lang w:val="ro-MD"/>
              </w:rPr>
              <w:t>Dacă suma intrărilor unui utilizator de sistem pentru ziua gazieră nu este egală cu suma ieșirilor sale pentru ziua gazieră respectivă, utilizatorul de sistem se consideră în dezechilibru negativ sau pozitiv pentru ziua gazieră respectivă și se aplică plății pentru dezechilibru zilnic în conformitate cu pct. 433</w:t>
            </w:r>
            <w:r w:rsidRPr="007B4B28">
              <w:rPr>
                <w:sz w:val="22"/>
                <w:szCs w:val="22"/>
                <w:vertAlign w:val="superscript"/>
                <w:lang w:val="ro-MD"/>
              </w:rPr>
              <w:t>89</w:t>
            </w:r>
            <w:r w:rsidRPr="007B4B28">
              <w:rPr>
                <w:sz w:val="22"/>
                <w:szCs w:val="22"/>
                <w:lang w:val="ro-MD"/>
              </w:rPr>
              <w:t>-433</w:t>
            </w:r>
            <w:r w:rsidRPr="007B4B28">
              <w:rPr>
                <w:sz w:val="22"/>
                <w:szCs w:val="22"/>
                <w:vertAlign w:val="superscript"/>
                <w:lang w:val="ro-MD"/>
              </w:rPr>
              <w:t>90</w:t>
            </w:r>
            <w:r w:rsidRPr="007B4B28">
              <w:rPr>
                <w:sz w:val="22"/>
                <w:szCs w:val="22"/>
                <w:lang w:val="ro-MD"/>
              </w:rPr>
              <w:t>.</w:t>
            </w:r>
          </w:p>
        </w:tc>
        <w:tc>
          <w:tcPr>
            <w:tcW w:w="1537" w:type="pct"/>
          </w:tcPr>
          <w:p w14:paraId="0CEB0A45" w14:textId="52439D60" w:rsidR="0077611E" w:rsidRPr="00C45E6F" w:rsidRDefault="0077611E" w:rsidP="00C45E6F">
            <w:pPr>
              <w:pStyle w:val="NoSpacing"/>
              <w:tabs>
                <w:tab w:val="left" w:pos="0"/>
                <w:tab w:val="left" w:pos="851"/>
              </w:tabs>
              <w:jc w:val="both"/>
              <w:rPr>
                <w:rFonts w:ascii="Times New Roman" w:hAnsi="Times New Roman" w:cs="Times New Roman"/>
                <w:lang w:val="ro-RO"/>
              </w:rPr>
            </w:pPr>
            <w:r w:rsidRPr="007B4B28">
              <w:rPr>
                <w:rFonts w:ascii="Times New Roman" w:hAnsi="Times New Roman" w:cs="Times New Roman"/>
                <w:lang w:val="ro-RO"/>
              </w:rPr>
              <w:t>De modificat și de expus în următoarea redacție: „</w:t>
            </w:r>
            <w:r w:rsidRPr="007B4B28">
              <w:rPr>
                <w:rFonts w:ascii="Times New Roman" w:hAnsi="Times New Roman" w:cs="Times New Roman"/>
                <w:i/>
                <w:lang w:val="ro-RO" w:eastAsia="ru-RU"/>
              </w:rPr>
              <w:t xml:space="preserve">Dacă suma cantităților de gaze naturale ale utilizatorului de sistem intrate în ziua gazieră nu este egală cu suma cantităților de gaze naturale ale utilizatorului de sistem ieșite din rețeaua de transport al gazelor naturale în ziua gazieră respectivă, utilizatorul de sistem se consideră în dezechilibru negativ sau pozitiv în ziua gazieră </w:t>
            </w:r>
            <w:r w:rsidRPr="007B4B28">
              <w:rPr>
                <w:rFonts w:ascii="Times New Roman" w:hAnsi="Times New Roman" w:cs="Times New Roman"/>
                <w:i/>
                <w:lang w:val="ro-RO" w:eastAsia="ru-RU"/>
              </w:rPr>
              <w:lastRenderedPageBreak/>
              <w:t>respectivă și se aplică plăți pentru dezechilibru zilnic în conformitate cu pct. 433</w:t>
            </w:r>
            <w:r w:rsidRPr="007B4B28">
              <w:rPr>
                <w:rFonts w:ascii="Times New Roman" w:hAnsi="Times New Roman" w:cs="Times New Roman"/>
                <w:i/>
                <w:vertAlign w:val="superscript"/>
                <w:lang w:val="ro-RO" w:eastAsia="ru-RU"/>
              </w:rPr>
              <w:t>89</w:t>
            </w:r>
            <w:r w:rsidRPr="007B4B28">
              <w:rPr>
                <w:rFonts w:ascii="Times New Roman" w:hAnsi="Times New Roman" w:cs="Times New Roman"/>
                <w:i/>
                <w:lang w:val="ro-RO" w:eastAsia="ru-RU"/>
              </w:rPr>
              <w:t>-433</w:t>
            </w:r>
            <w:r w:rsidRPr="007B4B28">
              <w:rPr>
                <w:rFonts w:ascii="Times New Roman" w:hAnsi="Times New Roman" w:cs="Times New Roman"/>
                <w:i/>
                <w:vertAlign w:val="superscript"/>
                <w:lang w:val="ro-RO" w:eastAsia="ru-RU"/>
              </w:rPr>
              <w:t>90</w:t>
            </w:r>
            <w:r w:rsidRPr="007B4B28">
              <w:rPr>
                <w:rFonts w:ascii="Times New Roman" w:hAnsi="Times New Roman" w:cs="Times New Roman"/>
                <w:lang w:val="ro-RO" w:eastAsia="ru-RU"/>
              </w:rPr>
              <w:t xml:space="preserve">.”, în conformitate cu pct. 140, 141 </w:t>
            </w:r>
            <w:r w:rsidR="00C45E6F">
              <w:rPr>
                <w:rFonts w:ascii="Times New Roman" w:hAnsi="Times New Roman" w:cs="Times New Roman"/>
                <w:lang w:val="ro-RO"/>
              </w:rPr>
              <w:t>din Reguli;</w:t>
            </w:r>
          </w:p>
        </w:tc>
        <w:tc>
          <w:tcPr>
            <w:cnfStyle w:val="000100000000" w:firstRow="0" w:lastRow="0" w:firstColumn="0" w:lastColumn="1" w:oddVBand="0" w:evenVBand="0" w:oddHBand="0" w:evenHBand="0" w:firstRowFirstColumn="0" w:firstRowLastColumn="0" w:lastRowFirstColumn="0" w:lastRowLastColumn="0"/>
            <w:tcW w:w="1060" w:type="pct"/>
          </w:tcPr>
          <w:p w14:paraId="2FF5B6E2" w14:textId="1F66475A" w:rsidR="0077611E" w:rsidRPr="007B4B28" w:rsidRDefault="008E0AB4" w:rsidP="00C45E6F">
            <w:pPr>
              <w:jc w:val="both"/>
              <w:rPr>
                <w:sz w:val="22"/>
                <w:szCs w:val="22"/>
                <w:lang w:val="ro-MD"/>
              </w:rPr>
            </w:pPr>
            <w:r>
              <w:rPr>
                <w:sz w:val="22"/>
                <w:szCs w:val="22"/>
                <w:lang w:val="ro-MD"/>
              </w:rPr>
              <w:lastRenderedPageBreak/>
              <w:t>Se acceptă</w:t>
            </w:r>
            <w:r w:rsidRPr="007B4B28">
              <w:rPr>
                <w:sz w:val="22"/>
                <w:szCs w:val="22"/>
                <w:lang w:val="ro-MD"/>
              </w:rPr>
              <w:t xml:space="preserve"> </w:t>
            </w:r>
          </w:p>
        </w:tc>
      </w:tr>
      <w:tr w:rsidR="0077611E" w:rsidRPr="008E0AB4" w14:paraId="68F4AB5B" w14:textId="77777777" w:rsidTr="001648D4">
        <w:trPr>
          <w:trHeight w:val="70"/>
        </w:trPr>
        <w:tc>
          <w:tcPr>
            <w:tcW w:w="339" w:type="pct"/>
          </w:tcPr>
          <w:p w14:paraId="1B1E3C63" w14:textId="72AB2B41" w:rsidR="0077611E" w:rsidRPr="007B4B28" w:rsidRDefault="0077611E" w:rsidP="00BB1A04">
            <w:pPr>
              <w:pStyle w:val="NoSpacing"/>
              <w:tabs>
                <w:tab w:val="left" w:pos="0"/>
                <w:tab w:val="left" w:pos="851"/>
              </w:tabs>
              <w:jc w:val="both"/>
              <w:rPr>
                <w:rFonts w:ascii="Times New Roman" w:hAnsi="Times New Roman" w:cs="Times New Roman"/>
                <w:lang w:val="ro-RO" w:eastAsia="ru-RU"/>
              </w:rPr>
            </w:pPr>
            <w:r w:rsidRPr="007B4B28">
              <w:rPr>
                <w:rFonts w:ascii="Times New Roman" w:hAnsi="Times New Roman" w:cs="Times New Roman"/>
                <w:lang w:val="ro-RO"/>
              </w:rPr>
              <w:lastRenderedPageBreak/>
              <w:t>Pct. 433</w:t>
            </w:r>
            <w:r w:rsidRPr="007B4B28">
              <w:rPr>
                <w:rFonts w:ascii="Times New Roman" w:hAnsi="Times New Roman" w:cs="Times New Roman"/>
                <w:vertAlign w:val="superscript"/>
                <w:lang w:val="ro-RO"/>
              </w:rPr>
              <w:t>8</w:t>
            </w:r>
            <w:r w:rsidR="00CA377D">
              <w:rPr>
                <w:rFonts w:ascii="Times New Roman" w:hAnsi="Times New Roman" w:cs="Times New Roman"/>
                <w:vertAlign w:val="superscript"/>
                <w:lang w:val="ro-RO"/>
              </w:rPr>
              <w:t>7</w:t>
            </w:r>
          </w:p>
        </w:tc>
        <w:tc>
          <w:tcPr>
            <w:tcW w:w="536" w:type="pct"/>
          </w:tcPr>
          <w:p w14:paraId="71FF670C" w14:textId="7F4D7F36" w:rsidR="0077611E" w:rsidRPr="007B4B28" w:rsidRDefault="0077611E" w:rsidP="00BB1A04">
            <w:pPr>
              <w:rPr>
                <w:sz w:val="22"/>
                <w:szCs w:val="22"/>
                <w:lang w:val="en-GB"/>
              </w:rPr>
            </w:pPr>
            <w:r w:rsidRPr="007B4B28">
              <w:rPr>
                <w:sz w:val="22"/>
                <w:szCs w:val="22"/>
                <w:lang w:val="en-GB"/>
              </w:rPr>
              <w:t>SA “Moldovagaz”</w:t>
            </w:r>
          </w:p>
        </w:tc>
        <w:tc>
          <w:tcPr>
            <w:tcW w:w="1528" w:type="pct"/>
          </w:tcPr>
          <w:p w14:paraId="10F38400" w14:textId="7CA4C786" w:rsidR="00CA377D" w:rsidRPr="00CA377D" w:rsidRDefault="00CA377D" w:rsidP="00BB1A04">
            <w:pPr>
              <w:jc w:val="both"/>
              <w:rPr>
                <w:sz w:val="22"/>
                <w:szCs w:val="22"/>
                <w:lang w:val="ro-MD"/>
              </w:rPr>
            </w:pPr>
            <w:r w:rsidRPr="00CA377D">
              <w:rPr>
                <w:sz w:val="22"/>
                <w:szCs w:val="22"/>
                <w:lang w:val="ro-MD"/>
              </w:rPr>
              <w:t>Prețul de referință este prețul mediu ponderat al energiei aferent tranzacțiilor cu gaze neturale cu produse titlu efectuate în punctul de tranzacționare virtual cu privire la o zi gazieră.</w:t>
            </w:r>
          </w:p>
          <w:p w14:paraId="6E2131B7" w14:textId="095FF895" w:rsidR="0077611E" w:rsidRPr="007B4B28" w:rsidRDefault="00CA377D" w:rsidP="00335651">
            <w:pPr>
              <w:pStyle w:val="NormalWeb"/>
              <w:tabs>
                <w:tab w:val="left" w:pos="851"/>
              </w:tabs>
              <w:ind w:firstLine="0"/>
              <w:rPr>
                <w:bCs/>
                <w:color w:val="000000"/>
                <w:sz w:val="22"/>
                <w:szCs w:val="22"/>
                <w:lang w:val="ro-MD"/>
              </w:rPr>
            </w:pPr>
            <w:r w:rsidRPr="00CA377D">
              <w:rPr>
                <w:color w:val="000000" w:themeColor="text1"/>
                <w:sz w:val="22"/>
                <w:szCs w:val="22"/>
                <w:lang w:val="ro-MD"/>
              </w:rPr>
              <w:t>În cazul în care dispozițiile de la pct. 433 86 subpct. (1) și (2) nu permit calcularea unui preț de vânzare marginal și/sau a unui preț de cumpărare marginal, se stabilește o normă standard</w:t>
            </w:r>
            <w:r>
              <w:rPr>
                <w:color w:val="000000" w:themeColor="text1"/>
                <w:sz w:val="22"/>
                <w:szCs w:val="22"/>
                <w:lang w:val="ro-MD"/>
              </w:rPr>
              <w:t>.</w:t>
            </w:r>
          </w:p>
        </w:tc>
        <w:tc>
          <w:tcPr>
            <w:tcW w:w="1537" w:type="pct"/>
          </w:tcPr>
          <w:p w14:paraId="2276F2BB" w14:textId="08027C1B" w:rsidR="0077611E" w:rsidRPr="007B4B28" w:rsidRDefault="0077611E" w:rsidP="008A3E25">
            <w:pPr>
              <w:pStyle w:val="NoSpacing"/>
              <w:tabs>
                <w:tab w:val="left" w:pos="0"/>
                <w:tab w:val="left" w:pos="851"/>
              </w:tabs>
              <w:jc w:val="both"/>
              <w:rPr>
                <w:rFonts w:ascii="Times New Roman" w:hAnsi="Times New Roman" w:cs="Times New Roman"/>
                <w:lang w:val="ro-RO"/>
              </w:rPr>
            </w:pPr>
            <w:r w:rsidRPr="007B4B28">
              <w:rPr>
                <w:rFonts w:ascii="Times New Roman" w:hAnsi="Times New Roman" w:cs="Times New Roman"/>
                <w:lang w:val="ro-RO"/>
              </w:rPr>
              <w:t xml:space="preserve">Propoziția a doua din primul alineat de expus în conformitate </w:t>
            </w:r>
            <w:r w:rsidRPr="00E613F1">
              <w:rPr>
                <w:rFonts w:ascii="Times New Roman" w:hAnsi="Times New Roman" w:cs="Times New Roman"/>
                <w:lang w:val="ro-RO"/>
              </w:rPr>
              <w:t>cu noțiunea „preț de referință”, definită conform pct. 6 din Reguli,</w:t>
            </w:r>
            <w:r w:rsidRPr="007B4B28">
              <w:rPr>
                <w:rFonts w:ascii="Times New Roman" w:hAnsi="Times New Roman" w:cs="Times New Roman"/>
                <w:lang w:val="ro-RO"/>
              </w:rPr>
              <w:t xml:space="preserve"> </w:t>
            </w:r>
          </w:p>
          <w:p w14:paraId="3B4CB243" w14:textId="77777777" w:rsidR="00D12139" w:rsidRDefault="00D12139" w:rsidP="008A3E25">
            <w:pPr>
              <w:pStyle w:val="NoSpacing"/>
              <w:tabs>
                <w:tab w:val="left" w:pos="0"/>
                <w:tab w:val="left" w:pos="851"/>
                <w:tab w:val="left" w:pos="1134"/>
              </w:tabs>
              <w:jc w:val="both"/>
              <w:rPr>
                <w:rFonts w:ascii="Times New Roman" w:hAnsi="Times New Roman" w:cs="Times New Roman"/>
                <w:lang w:val="ro-RO"/>
              </w:rPr>
            </w:pPr>
          </w:p>
          <w:p w14:paraId="3F6A0838" w14:textId="77777777" w:rsidR="00D12139" w:rsidRDefault="00D12139" w:rsidP="008A3E25">
            <w:pPr>
              <w:pStyle w:val="NoSpacing"/>
              <w:tabs>
                <w:tab w:val="left" w:pos="0"/>
                <w:tab w:val="left" w:pos="851"/>
                <w:tab w:val="left" w:pos="1134"/>
              </w:tabs>
              <w:jc w:val="both"/>
              <w:rPr>
                <w:rFonts w:ascii="Times New Roman" w:hAnsi="Times New Roman" w:cs="Times New Roman"/>
                <w:lang w:val="ro-RO"/>
              </w:rPr>
            </w:pPr>
          </w:p>
          <w:p w14:paraId="262D995F" w14:textId="584E2A3D" w:rsidR="00D12139" w:rsidRDefault="00D12139" w:rsidP="008A3E25">
            <w:pPr>
              <w:pStyle w:val="NoSpacing"/>
              <w:tabs>
                <w:tab w:val="left" w:pos="0"/>
                <w:tab w:val="left" w:pos="851"/>
                <w:tab w:val="left" w:pos="1134"/>
              </w:tabs>
              <w:jc w:val="both"/>
              <w:rPr>
                <w:rFonts w:ascii="Times New Roman" w:hAnsi="Times New Roman" w:cs="Times New Roman"/>
                <w:lang w:val="ro-RO"/>
              </w:rPr>
            </w:pPr>
          </w:p>
          <w:p w14:paraId="4B57F482" w14:textId="77777777" w:rsidR="00D12139" w:rsidRDefault="00D12139" w:rsidP="008A3E25">
            <w:pPr>
              <w:pStyle w:val="NoSpacing"/>
              <w:tabs>
                <w:tab w:val="left" w:pos="0"/>
                <w:tab w:val="left" w:pos="851"/>
                <w:tab w:val="left" w:pos="1134"/>
              </w:tabs>
              <w:jc w:val="both"/>
              <w:rPr>
                <w:rFonts w:ascii="Times New Roman" w:hAnsi="Times New Roman" w:cs="Times New Roman"/>
                <w:lang w:val="ro-RO"/>
              </w:rPr>
            </w:pPr>
          </w:p>
          <w:p w14:paraId="0A7D2B26" w14:textId="312DF68B" w:rsidR="0077611E" w:rsidRPr="007B4B28" w:rsidRDefault="0077611E" w:rsidP="008A3E25">
            <w:pPr>
              <w:pStyle w:val="NoSpacing"/>
              <w:tabs>
                <w:tab w:val="left" w:pos="0"/>
                <w:tab w:val="left" w:pos="851"/>
                <w:tab w:val="left" w:pos="1134"/>
              </w:tabs>
              <w:jc w:val="both"/>
              <w:rPr>
                <w:rFonts w:ascii="Times New Roman" w:hAnsi="Times New Roman" w:cs="Times New Roman"/>
                <w:i/>
                <w:lang w:val="ro-RO"/>
              </w:rPr>
            </w:pPr>
            <w:r w:rsidRPr="007B4B28">
              <w:rPr>
                <w:rFonts w:ascii="Times New Roman" w:hAnsi="Times New Roman" w:cs="Times New Roman"/>
                <w:lang w:val="ro-RO"/>
              </w:rPr>
              <w:t>la al doilea alineat textul „</w:t>
            </w:r>
            <w:r w:rsidRPr="007B4B28">
              <w:rPr>
                <w:rFonts w:ascii="Times New Roman" w:hAnsi="Times New Roman" w:cs="Times New Roman"/>
                <w:i/>
                <w:color w:val="000000" w:themeColor="text1"/>
                <w:lang w:val="ro-RO" w:eastAsia="ru-RU"/>
              </w:rPr>
              <w:t>preț de vânzare marginal și/sau a unui preț de cumpărare marginal</w:t>
            </w:r>
            <w:r w:rsidRPr="007B4B28">
              <w:rPr>
                <w:rFonts w:ascii="Times New Roman" w:hAnsi="Times New Roman" w:cs="Times New Roman"/>
                <w:color w:val="000000" w:themeColor="text1"/>
                <w:lang w:val="ro-RO" w:eastAsia="ru-RU"/>
              </w:rPr>
              <w:t>”</w:t>
            </w:r>
            <w:r w:rsidRPr="007B4B28">
              <w:rPr>
                <w:rFonts w:ascii="Times New Roman" w:hAnsi="Times New Roman" w:cs="Times New Roman"/>
                <w:lang w:val="ro-RO"/>
              </w:rPr>
              <w:t xml:space="preserve"> de substituit cu textul</w:t>
            </w:r>
            <w:r w:rsidRPr="007B4B28">
              <w:rPr>
                <w:rFonts w:ascii="Times New Roman" w:hAnsi="Times New Roman" w:cs="Times New Roman"/>
                <w:bCs/>
                <w:lang w:val="ro-RO"/>
              </w:rPr>
              <w:t xml:space="preserve">  </w:t>
            </w:r>
            <w:r w:rsidRPr="007B4B28">
              <w:rPr>
                <w:rFonts w:ascii="Times New Roman" w:hAnsi="Times New Roman" w:cs="Times New Roman"/>
                <w:lang w:val="ro-RO"/>
              </w:rPr>
              <w:t>„</w:t>
            </w:r>
            <w:r w:rsidRPr="007B4B28">
              <w:rPr>
                <w:rFonts w:ascii="Times New Roman" w:hAnsi="Times New Roman" w:cs="Times New Roman"/>
                <w:i/>
                <w:lang w:val="ro-RO" w:eastAsia="ru-RU"/>
              </w:rPr>
              <w:t>preț marginal de vânzare și/sau a unui preț marginal de cumpărare</w:t>
            </w:r>
            <w:r w:rsidRPr="007B4B28">
              <w:rPr>
                <w:rFonts w:ascii="Times New Roman" w:hAnsi="Times New Roman" w:cs="Times New Roman"/>
                <w:lang w:val="ro-RO" w:eastAsia="ru-RU"/>
              </w:rPr>
              <w:t>”, în conformitate cu alineatul precedent din prezentul punct</w:t>
            </w:r>
          </w:p>
        </w:tc>
        <w:tc>
          <w:tcPr>
            <w:cnfStyle w:val="000100000000" w:firstRow="0" w:lastRow="0" w:firstColumn="0" w:lastColumn="1" w:oddVBand="0" w:evenVBand="0" w:oddHBand="0" w:evenHBand="0" w:firstRowFirstColumn="0" w:firstRowLastColumn="0" w:lastRowFirstColumn="0" w:lastRowLastColumn="0"/>
            <w:tcW w:w="1060" w:type="pct"/>
          </w:tcPr>
          <w:p w14:paraId="1064C252" w14:textId="5C7BD483" w:rsidR="008E0AB4" w:rsidRDefault="008E0AB4" w:rsidP="008E0AB4">
            <w:pPr>
              <w:jc w:val="both"/>
              <w:rPr>
                <w:sz w:val="22"/>
                <w:szCs w:val="22"/>
                <w:lang w:val="ro-MD"/>
              </w:rPr>
            </w:pPr>
            <w:r>
              <w:rPr>
                <w:sz w:val="22"/>
                <w:szCs w:val="22"/>
                <w:lang w:val="ro-MD"/>
              </w:rPr>
              <w:t xml:space="preserve">Nu se acceptă. </w:t>
            </w:r>
          </w:p>
          <w:p w14:paraId="15948F2B" w14:textId="491B239D" w:rsidR="008E0AB4" w:rsidRDefault="008E0AB4" w:rsidP="008E0AB4">
            <w:pPr>
              <w:pStyle w:val="Default"/>
              <w:rPr>
                <w:b w:val="0"/>
                <w:bCs w:val="0"/>
                <w:sz w:val="22"/>
                <w:szCs w:val="22"/>
                <w:lang w:val="ro-MD"/>
              </w:rPr>
            </w:pPr>
            <w:r w:rsidRPr="008E0AB4">
              <w:rPr>
                <w:b w:val="0"/>
                <w:sz w:val="22"/>
                <w:szCs w:val="22"/>
                <w:lang w:val="ro-MD"/>
              </w:rPr>
              <w:t>Pentru a evita interpretările care pot apărea pe viitor. Textul Regulamentului U</w:t>
            </w:r>
            <w:r w:rsidR="00E613F1">
              <w:rPr>
                <w:b w:val="0"/>
                <w:sz w:val="22"/>
                <w:szCs w:val="22"/>
                <w:lang w:val="ro-MD"/>
              </w:rPr>
              <w:t>E</w:t>
            </w:r>
            <w:r w:rsidRPr="008E0AB4">
              <w:rPr>
                <w:b w:val="0"/>
                <w:sz w:val="22"/>
                <w:szCs w:val="22"/>
                <w:lang w:val="ro-MD"/>
              </w:rPr>
              <w:t xml:space="preserve"> se va transpune în strictă conformitate cu Decizia PHLG</w:t>
            </w:r>
            <w:r>
              <w:rPr>
                <w:sz w:val="22"/>
                <w:szCs w:val="22"/>
                <w:lang w:val="ro-MD"/>
              </w:rPr>
              <w:t xml:space="preserve">  </w:t>
            </w:r>
            <w:r w:rsidRPr="008E0AB4">
              <w:rPr>
                <w:b w:val="0"/>
                <w:bCs w:val="0"/>
                <w:i/>
                <w:iCs/>
                <w:sz w:val="23"/>
                <w:szCs w:val="23"/>
                <w:lang w:val="en-GB"/>
              </w:rPr>
              <w:t>019/01/PHLG-EnC</w:t>
            </w:r>
            <w:r w:rsidR="00E613F1">
              <w:rPr>
                <w:b w:val="0"/>
                <w:bCs w:val="0"/>
                <w:i/>
                <w:iCs/>
                <w:sz w:val="23"/>
                <w:szCs w:val="23"/>
                <w:lang w:val="en-GB"/>
              </w:rPr>
              <w:t>.</w:t>
            </w:r>
          </w:p>
          <w:p w14:paraId="3B241906" w14:textId="77777777" w:rsidR="004A29A7" w:rsidRDefault="004A29A7" w:rsidP="008A3E25">
            <w:pPr>
              <w:jc w:val="both"/>
              <w:rPr>
                <w:sz w:val="22"/>
                <w:szCs w:val="22"/>
                <w:lang w:val="ro-MD"/>
              </w:rPr>
            </w:pPr>
          </w:p>
          <w:p w14:paraId="613D696F" w14:textId="54D339A9" w:rsidR="004A29A7" w:rsidRDefault="00E613F1" w:rsidP="008A3E25">
            <w:pPr>
              <w:jc w:val="both"/>
              <w:rPr>
                <w:sz w:val="22"/>
                <w:szCs w:val="22"/>
                <w:lang w:val="ro-MD"/>
              </w:rPr>
            </w:pPr>
            <w:r>
              <w:rPr>
                <w:sz w:val="22"/>
                <w:szCs w:val="22"/>
                <w:lang w:val="ro-MD"/>
              </w:rPr>
              <w:t>Se acceptă</w:t>
            </w:r>
          </w:p>
          <w:p w14:paraId="7EED1968" w14:textId="06D62B07" w:rsidR="004A29A7" w:rsidRPr="007B4B28" w:rsidRDefault="004A29A7" w:rsidP="008A3E25">
            <w:pPr>
              <w:jc w:val="both"/>
              <w:rPr>
                <w:sz w:val="22"/>
                <w:szCs w:val="22"/>
                <w:lang w:val="ro-MD"/>
              </w:rPr>
            </w:pPr>
          </w:p>
        </w:tc>
      </w:tr>
      <w:tr w:rsidR="0077611E" w:rsidRPr="00E613F1" w14:paraId="44621569" w14:textId="77777777" w:rsidTr="001648D4">
        <w:trPr>
          <w:trHeight w:val="70"/>
        </w:trPr>
        <w:tc>
          <w:tcPr>
            <w:tcW w:w="339" w:type="pct"/>
          </w:tcPr>
          <w:p w14:paraId="24F7F629" w14:textId="25C9DB49" w:rsidR="0077611E" w:rsidRPr="007B4B28" w:rsidRDefault="0077611E" w:rsidP="00BB1A04">
            <w:pPr>
              <w:pStyle w:val="NoSpacing"/>
              <w:tabs>
                <w:tab w:val="left" w:pos="0"/>
                <w:tab w:val="left" w:pos="851"/>
              </w:tabs>
              <w:jc w:val="both"/>
              <w:rPr>
                <w:rFonts w:ascii="Times New Roman" w:hAnsi="Times New Roman" w:cs="Times New Roman"/>
                <w:vertAlign w:val="superscript"/>
                <w:lang w:val="ro-RO" w:eastAsia="ru-RU"/>
              </w:rPr>
            </w:pPr>
            <w:r w:rsidRPr="007B4B28">
              <w:rPr>
                <w:rFonts w:ascii="Times New Roman" w:hAnsi="Times New Roman" w:cs="Times New Roman"/>
                <w:lang w:val="ro-RO" w:eastAsia="ru-RU"/>
              </w:rPr>
              <w:t>Pct. 433</w:t>
            </w:r>
            <w:r w:rsidRPr="007B4B28">
              <w:rPr>
                <w:rFonts w:ascii="Times New Roman" w:hAnsi="Times New Roman" w:cs="Times New Roman"/>
                <w:vertAlign w:val="superscript"/>
                <w:lang w:val="ro-RO" w:eastAsia="ru-RU"/>
              </w:rPr>
              <w:t>88</w:t>
            </w:r>
          </w:p>
          <w:p w14:paraId="4BEE3CA0" w14:textId="343FB31D" w:rsidR="0077611E" w:rsidRPr="007B4B28" w:rsidRDefault="0077611E" w:rsidP="00BB1A04">
            <w:pPr>
              <w:pStyle w:val="NoSpacing"/>
              <w:tabs>
                <w:tab w:val="left" w:pos="0"/>
                <w:tab w:val="left" w:pos="851"/>
              </w:tabs>
              <w:jc w:val="both"/>
              <w:rPr>
                <w:rFonts w:ascii="Times New Roman" w:hAnsi="Times New Roman" w:cs="Times New Roman"/>
                <w:lang w:val="ro-RO" w:eastAsia="ru-RU"/>
              </w:rPr>
            </w:pPr>
            <w:r w:rsidRPr="007B4B28">
              <w:rPr>
                <w:rFonts w:ascii="Times New Roman" w:hAnsi="Times New Roman" w:cs="Times New Roman"/>
                <w:lang w:val="ro-RO" w:eastAsia="ru-RU"/>
              </w:rPr>
              <w:t>subpct. 3)</w:t>
            </w:r>
          </w:p>
          <w:p w14:paraId="66294BEC" w14:textId="77777777" w:rsidR="0077611E" w:rsidRPr="007B4B28" w:rsidRDefault="0077611E" w:rsidP="00BB1A04">
            <w:pPr>
              <w:pStyle w:val="NoSpacing"/>
              <w:tabs>
                <w:tab w:val="left" w:pos="0"/>
                <w:tab w:val="left" w:pos="851"/>
              </w:tabs>
              <w:jc w:val="both"/>
              <w:rPr>
                <w:rFonts w:ascii="Times New Roman" w:hAnsi="Times New Roman" w:cs="Times New Roman"/>
                <w:lang w:val="ro-RO" w:eastAsia="ru-RU"/>
              </w:rPr>
            </w:pPr>
          </w:p>
        </w:tc>
        <w:tc>
          <w:tcPr>
            <w:tcW w:w="536" w:type="pct"/>
          </w:tcPr>
          <w:p w14:paraId="59527CCB" w14:textId="3A01EE3B" w:rsidR="0077611E" w:rsidRPr="007B4B28" w:rsidRDefault="0077611E" w:rsidP="00335651">
            <w:pPr>
              <w:rPr>
                <w:sz w:val="22"/>
                <w:szCs w:val="22"/>
                <w:lang w:val="en-GB"/>
              </w:rPr>
            </w:pPr>
            <w:r w:rsidRPr="007B4B28">
              <w:rPr>
                <w:sz w:val="22"/>
                <w:szCs w:val="22"/>
                <w:lang w:val="en-GB"/>
              </w:rPr>
              <w:t>SA “Moldovagaz”</w:t>
            </w:r>
          </w:p>
        </w:tc>
        <w:tc>
          <w:tcPr>
            <w:tcW w:w="1528" w:type="pct"/>
          </w:tcPr>
          <w:p w14:paraId="7B06698D" w14:textId="77777777" w:rsidR="00912877" w:rsidRPr="007B4B28" w:rsidRDefault="00912877" w:rsidP="000F043B">
            <w:pPr>
              <w:jc w:val="both"/>
              <w:rPr>
                <w:color w:val="000000" w:themeColor="text1"/>
                <w:sz w:val="22"/>
                <w:szCs w:val="22"/>
                <w:lang w:val="en-GB"/>
              </w:rPr>
            </w:pPr>
            <w:r w:rsidRPr="007B4B28">
              <w:rPr>
                <w:color w:val="000000" w:themeColor="text1"/>
                <w:sz w:val="22"/>
                <w:szCs w:val="22"/>
                <w:lang w:val="en-GB"/>
              </w:rPr>
              <w:t xml:space="preserve">(3)nu are un impact negativ asupra </w:t>
            </w:r>
            <w:r w:rsidRPr="00E613F1">
              <w:rPr>
                <w:b/>
                <w:color w:val="000000" w:themeColor="text1"/>
                <w:sz w:val="22"/>
                <w:szCs w:val="22"/>
                <w:lang w:val="en-GB"/>
              </w:rPr>
              <w:t>comerțului transfrontalier;</w:t>
            </w:r>
          </w:p>
          <w:p w14:paraId="400C327F" w14:textId="0A5E61E0" w:rsidR="00912877" w:rsidRPr="007B4B28" w:rsidRDefault="00912877" w:rsidP="008A3E25">
            <w:pPr>
              <w:jc w:val="both"/>
              <w:rPr>
                <w:color w:val="000000" w:themeColor="text1"/>
                <w:sz w:val="22"/>
                <w:szCs w:val="22"/>
                <w:lang w:val="en-GB"/>
              </w:rPr>
            </w:pPr>
            <w:r w:rsidRPr="007B4B28">
              <w:rPr>
                <w:color w:val="000000" w:themeColor="text1"/>
                <w:sz w:val="22"/>
                <w:szCs w:val="22"/>
                <w:lang w:val="en-GB"/>
              </w:rPr>
              <w:t xml:space="preserve"> (4)nu conduce la o expunere financiară excesivă a utilizatorilor de sistem la prețuri de dezechilibru zilnic.</w:t>
            </w:r>
          </w:p>
          <w:p w14:paraId="4C8A4C57" w14:textId="2EF9F7BF" w:rsidR="0077611E" w:rsidRPr="007B4B28" w:rsidRDefault="00912877" w:rsidP="008A3E25">
            <w:pPr>
              <w:pStyle w:val="NormalWeb"/>
              <w:tabs>
                <w:tab w:val="left" w:pos="851"/>
              </w:tabs>
              <w:ind w:firstLine="0"/>
              <w:rPr>
                <w:bCs/>
                <w:color w:val="000000"/>
                <w:sz w:val="22"/>
                <w:szCs w:val="22"/>
                <w:lang w:val="ro-MD"/>
              </w:rPr>
            </w:pPr>
            <w:r w:rsidRPr="007B4B28">
              <w:rPr>
                <w:color w:val="000000" w:themeColor="text1"/>
                <w:sz w:val="22"/>
                <w:szCs w:val="22"/>
                <w:lang w:val="en-GB"/>
              </w:rPr>
              <w:t>Valoarea ajustării minore poate fi diferită în momentul determinării prețului de cumpărare marginal și a prețului de vânzare marginal. Valoarea ajustării minore nu trebuie să depășească zece procente din prețul mediu ponderat, cu excepția cazului în care OST în cauză poate prezenta autorității naționale de reglementare o deviere de la această regulă și pentru care poate obține o aprobare din partea acesteia în conformitate cu secțiunii 2 din acest Capitol.</w:t>
            </w:r>
          </w:p>
        </w:tc>
        <w:tc>
          <w:tcPr>
            <w:tcW w:w="1537" w:type="pct"/>
          </w:tcPr>
          <w:p w14:paraId="78CC0496" w14:textId="325C75AF" w:rsidR="0077611E" w:rsidRPr="00E613F1" w:rsidRDefault="0077611E" w:rsidP="008A3E25">
            <w:pPr>
              <w:pStyle w:val="NoSpacing"/>
              <w:tabs>
                <w:tab w:val="left" w:pos="0"/>
                <w:tab w:val="left" w:pos="851"/>
                <w:tab w:val="left" w:pos="1134"/>
              </w:tabs>
              <w:jc w:val="both"/>
              <w:rPr>
                <w:rFonts w:ascii="Times New Roman" w:hAnsi="Times New Roman" w:cs="Times New Roman"/>
                <w:lang w:val="ro-RO"/>
              </w:rPr>
            </w:pPr>
            <w:r w:rsidRPr="00E613F1">
              <w:rPr>
                <w:rFonts w:ascii="Times New Roman" w:hAnsi="Times New Roman" w:cs="Times New Roman"/>
                <w:lang w:val="ro-RO" w:eastAsia="ru-RU"/>
              </w:rPr>
              <w:t>Cuvântul „</w:t>
            </w:r>
            <w:r w:rsidRPr="00E613F1">
              <w:rPr>
                <w:rFonts w:ascii="Times New Roman" w:hAnsi="Times New Roman" w:cs="Times New Roman"/>
                <w:i/>
                <w:lang w:val="ro-RO" w:eastAsia="ru-RU"/>
              </w:rPr>
              <w:t>comerțului</w:t>
            </w:r>
            <w:r w:rsidRPr="00E613F1">
              <w:rPr>
                <w:rFonts w:ascii="Times New Roman" w:hAnsi="Times New Roman" w:cs="Times New Roman"/>
                <w:lang w:val="ro-RO" w:eastAsia="ru-RU"/>
              </w:rPr>
              <w:t>”  de substituit cu cuvântul „</w:t>
            </w:r>
            <w:r w:rsidRPr="00E613F1">
              <w:rPr>
                <w:rFonts w:ascii="Times New Roman" w:hAnsi="Times New Roman" w:cs="Times New Roman"/>
                <w:i/>
                <w:lang w:val="ro-RO" w:eastAsia="ru-RU"/>
              </w:rPr>
              <w:t>tranzacției</w:t>
            </w:r>
            <w:r w:rsidRPr="00E613F1">
              <w:rPr>
                <w:rFonts w:ascii="Times New Roman" w:hAnsi="Times New Roman" w:cs="Times New Roman"/>
                <w:lang w:val="ro-RO" w:eastAsia="ru-RU"/>
              </w:rPr>
              <w:t xml:space="preserve">”, în conformitate cu </w:t>
            </w:r>
            <w:r w:rsidRPr="00E613F1">
              <w:rPr>
                <w:rFonts w:ascii="Times New Roman" w:hAnsi="Times New Roman" w:cs="Times New Roman"/>
                <w:lang w:val="ro-RO"/>
              </w:rPr>
              <w:t>art. 67 alin. (1) din Legea 108/2016,</w:t>
            </w:r>
          </w:p>
          <w:p w14:paraId="45D8F9DC" w14:textId="5D582355" w:rsidR="0077611E" w:rsidRPr="00E613F1" w:rsidRDefault="004A29A7" w:rsidP="008A3E25">
            <w:pPr>
              <w:pStyle w:val="NoSpacing"/>
              <w:tabs>
                <w:tab w:val="left" w:pos="0"/>
                <w:tab w:val="left" w:pos="851"/>
                <w:tab w:val="left" w:pos="1134"/>
              </w:tabs>
              <w:jc w:val="both"/>
              <w:rPr>
                <w:rFonts w:ascii="Times New Roman" w:hAnsi="Times New Roman" w:cs="Times New Roman"/>
                <w:lang w:val="ro-RO"/>
              </w:rPr>
            </w:pPr>
            <w:r w:rsidRPr="00E613F1">
              <w:rPr>
                <w:rFonts w:ascii="Times New Roman" w:hAnsi="Times New Roman" w:cs="Times New Roman"/>
                <w:lang w:val="ro-RO" w:eastAsia="ru-RU"/>
              </w:rPr>
              <w:t xml:space="preserve">În </w:t>
            </w:r>
            <w:r w:rsidR="0077611E" w:rsidRPr="00E613F1">
              <w:rPr>
                <w:rFonts w:ascii="Times New Roman" w:hAnsi="Times New Roman" w:cs="Times New Roman"/>
                <w:lang w:val="ro-RO" w:eastAsia="ru-RU"/>
              </w:rPr>
              <w:t>ultimul alineat textul „</w:t>
            </w:r>
            <w:r w:rsidR="0077611E" w:rsidRPr="00E613F1">
              <w:rPr>
                <w:rFonts w:ascii="Times New Roman" w:hAnsi="Times New Roman" w:cs="Times New Roman"/>
                <w:i/>
                <w:lang w:val="ro-RO"/>
              </w:rPr>
              <w:t>prețului de cumpărare marginal și a prețului de vânzare marginal</w:t>
            </w:r>
            <w:r w:rsidR="0077611E" w:rsidRPr="00E613F1">
              <w:rPr>
                <w:rFonts w:ascii="Times New Roman" w:hAnsi="Times New Roman" w:cs="Times New Roman"/>
                <w:lang w:val="ro-RO"/>
              </w:rPr>
              <w:t xml:space="preserve">” de  substituit cu textul </w:t>
            </w:r>
            <w:r w:rsidR="0077611E" w:rsidRPr="00E613F1">
              <w:rPr>
                <w:rFonts w:ascii="Times New Roman" w:hAnsi="Times New Roman" w:cs="Times New Roman"/>
                <w:lang w:val="ro-RO" w:eastAsia="ru-RU"/>
              </w:rPr>
              <w:t>„</w:t>
            </w:r>
            <w:r w:rsidR="0077611E" w:rsidRPr="00E613F1">
              <w:rPr>
                <w:rFonts w:ascii="Times New Roman" w:hAnsi="Times New Roman" w:cs="Times New Roman"/>
                <w:i/>
                <w:lang w:val="ro-RO"/>
              </w:rPr>
              <w:t>prețului marginal de cumpărare și a prețului marginal de vânzare</w:t>
            </w:r>
            <w:r w:rsidRPr="00E613F1">
              <w:rPr>
                <w:rFonts w:ascii="Times New Roman" w:hAnsi="Times New Roman" w:cs="Times New Roman"/>
                <w:lang w:val="ro-RO"/>
              </w:rPr>
              <w:t>”, T</w:t>
            </w:r>
            <w:r w:rsidR="0077611E" w:rsidRPr="00E613F1">
              <w:rPr>
                <w:rFonts w:ascii="Times New Roman" w:hAnsi="Times New Roman" w:cs="Times New Roman"/>
                <w:lang w:val="ro-RO"/>
              </w:rPr>
              <w:t>extul „</w:t>
            </w:r>
            <w:r w:rsidR="0077611E" w:rsidRPr="00E613F1">
              <w:rPr>
                <w:rFonts w:ascii="Times New Roman" w:hAnsi="Times New Roman" w:cs="Times New Roman"/>
                <w:i/>
                <w:lang w:val="ro-RO"/>
              </w:rPr>
              <w:t>prețul mediu ponderat</w:t>
            </w:r>
            <w:r w:rsidR="0077611E" w:rsidRPr="00E613F1">
              <w:rPr>
                <w:rFonts w:ascii="Times New Roman" w:hAnsi="Times New Roman" w:cs="Times New Roman"/>
                <w:lang w:val="ro-RO"/>
              </w:rPr>
              <w:t>” - cu textul „</w:t>
            </w:r>
            <w:r w:rsidR="0077611E" w:rsidRPr="00E613F1">
              <w:rPr>
                <w:rFonts w:ascii="Times New Roman" w:hAnsi="Times New Roman" w:cs="Times New Roman"/>
                <w:i/>
                <w:lang w:val="ro-RO"/>
              </w:rPr>
              <w:t>prețul de referință</w:t>
            </w:r>
            <w:r w:rsidR="0077611E" w:rsidRPr="00E613F1">
              <w:rPr>
                <w:rFonts w:ascii="Times New Roman" w:hAnsi="Times New Roman" w:cs="Times New Roman"/>
                <w:lang w:val="ro-RO"/>
              </w:rPr>
              <w:t>”, în conformitate cu pct. 149 din Reguli</w:t>
            </w:r>
            <w:r w:rsidR="000F043B" w:rsidRPr="00E613F1">
              <w:rPr>
                <w:rFonts w:ascii="Times New Roman" w:hAnsi="Times New Roman" w:cs="Times New Roman"/>
                <w:lang w:val="ro-RO"/>
              </w:rPr>
              <w:t>.</w:t>
            </w:r>
          </w:p>
          <w:p w14:paraId="709F8237" w14:textId="76E5B252" w:rsidR="0077611E" w:rsidRPr="00E613F1" w:rsidRDefault="0077611E" w:rsidP="008A3E25">
            <w:pPr>
              <w:pStyle w:val="NoSpacing"/>
              <w:tabs>
                <w:tab w:val="left" w:pos="0"/>
                <w:tab w:val="left" w:pos="851"/>
                <w:tab w:val="left" w:pos="1134"/>
              </w:tabs>
              <w:jc w:val="both"/>
              <w:rPr>
                <w:rFonts w:ascii="Times New Roman" w:hAnsi="Times New Roman" w:cs="Times New Roman"/>
                <w:i/>
                <w:lang w:val="ro-RO"/>
              </w:rPr>
            </w:pPr>
          </w:p>
        </w:tc>
        <w:tc>
          <w:tcPr>
            <w:cnfStyle w:val="000100000000" w:firstRow="0" w:lastRow="0" w:firstColumn="0" w:lastColumn="1" w:oddVBand="0" w:evenVBand="0" w:oddHBand="0" w:evenHBand="0" w:firstRowFirstColumn="0" w:firstRowLastColumn="0" w:lastRowFirstColumn="0" w:lastRowLastColumn="0"/>
            <w:tcW w:w="1060" w:type="pct"/>
          </w:tcPr>
          <w:p w14:paraId="70407D8B" w14:textId="77777777" w:rsidR="000F043B" w:rsidRPr="00E613F1" w:rsidRDefault="000F043B" w:rsidP="00BB1A04">
            <w:pPr>
              <w:jc w:val="both"/>
              <w:rPr>
                <w:b w:val="0"/>
                <w:bCs w:val="0"/>
                <w:sz w:val="22"/>
                <w:szCs w:val="22"/>
                <w:lang w:val="ro-MD"/>
              </w:rPr>
            </w:pPr>
            <w:r w:rsidRPr="00E613F1">
              <w:rPr>
                <w:sz w:val="22"/>
                <w:szCs w:val="22"/>
                <w:lang w:val="ro-MD"/>
              </w:rPr>
              <w:t xml:space="preserve">Nu se acceptă. </w:t>
            </w:r>
          </w:p>
          <w:p w14:paraId="364DDED2" w14:textId="77777777" w:rsidR="00E613F1" w:rsidRPr="00E613F1" w:rsidRDefault="000F043B" w:rsidP="000F043B">
            <w:pPr>
              <w:jc w:val="both"/>
              <w:rPr>
                <w:b w:val="0"/>
                <w:bCs w:val="0"/>
                <w:sz w:val="22"/>
                <w:szCs w:val="22"/>
                <w:lang w:val="ro-MD"/>
              </w:rPr>
            </w:pPr>
            <w:r w:rsidRPr="00E613F1">
              <w:rPr>
                <w:b w:val="0"/>
                <w:bCs w:val="0"/>
                <w:sz w:val="22"/>
                <w:szCs w:val="22"/>
                <w:lang w:val="ro-MD"/>
              </w:rPr>
              <w:t>Tranzacția este un instrument al comerțului.</w:t>
            </w:r>
          </w:p>
          <w:p w14:paraId="35B3297F" w14:textId="48C085AD" w:rsidR="0077611E" w:rsidRPr="00E613F1" w:rsidRDefault="00E613F1" w:rsidP="000F043B">
            <w:pPr>
              <w:jc w:val="both"/>
              <w:rPr>
                <w:b w:val="0"/>
                <w:bCs w:val="0"/>
                <w:sz w:val="22"/>
                <w:szCs w:val="22"/>
                <w:lang w:val="ro-MD"/>
              </w:rPr>
            </w:pPr>
            <w:r w:rsidRPr="00E613F1">
              <w:rPr>
                <w:b w:val="0"/>
                <w:bCs w:val="0"/>
                <w:sz w:val="22"/>
                <w:szCs w:val="22"/>
                <w:lang w:val="ro-MD"/>
              </w:rPr>
              <w:t>Nu corespunde textului Regulamentului UE 312/2014.</w:t>
            </w:r>
          </w:p>
          <w:p w14:paraId="1ABA93D0" w14:textId="210C6A97" w:rsidR="00D12139" w:rsidRPr="00E613F1" w:rsidRDefault="00D12139" w:rsidP="000F043B">
            <w:pPr>
              <w:jc w:val="both"/>
              <w:rPr>
                <w:sz w:val="22"/>
                <w:szCs w:val="22"/>
                <w:lang w:val="en-GB"/>
              </w:rPr>
            </w:pPr>
            <w:r w:rsidRPr="00E613F1">
              <w:rPr>
                <w:sz w:val="22"/>
                <w:szCs w:val="22"/>
                <w:lang w:val="en-GB"/>
              </w:rPr>
              <w:t>Se acceptă</w:t>
            </w:r>
          </w:p>
          <w:p w14:paraId="1A7576E2" w14:textId="77777777" w:rsidR="004A29A7" w:rsidRPr="00E613F1" w:rsidRDefault="004A29A7" w:rsidP="000F043B">
            <w:pPr>
              <w:jc w:val="both"/>
              <w:rPr>
                <w:sz w:val="22"/>
                <w:szCs w:val="22"/>
                <w:lang w:val="ro-MD"/>
              </w:rPr>
            </w:pPr>
          </w:p>
          <w:p w14:paraId="3253654D" w14:textId="12E25A16" w:rsidR="004A29A7" w:rsidRPr="00E613F1" w:rsidRDefault="004A29A7" w:rsidP="000F043B">
            <w:pPr>
              <w:jc w:val="both"/>
              <w:rPr>
                <w:sz w:val="22"/>
                <w:szCs w:val="22"/>
                <w:lang w:val="ro-MD"/>
              </w:rPr>
            </w:pPr>
            <w:r w:rsidRPr="00E613F1">
              <w:rPr>
                <w:sz w:val="22"/>
                <w:szCs w:val="22"/>
                <w:lang w:val="ro-MD"/>
              </w:rPr>
              <w:t>Se acceptă</w:t>
            </w:r>
          </w:p>
        </w:tc>
      </w:tr>
      <w:tr w:rsidR="00395552" w:rsidRPr="007B4B28" w14:paraId="5C750B2D" w14:textId="77777777" w:rsidTr="00395552">
        <w:trPr>
          <w:trHeight w:val="70"/>
        </w:trPr>
        <w:tc>
          <w:tcPr>
            <w:tcW w:w="339" w:type="pct"/>
          </w:tcPr>
          <w:p w14:paraId="4F1209ED" w14:textId="2C0D214B" w:rsidR="00395552" w:rsidRPr="007B4B28" w:rsidRDefault="00395552" w:rsidP="00BB1A04">
            <w:pPr>
              <w:pStyle w:val="NoSpacing"/>
              <w:tabs>
                <w:tab w:val="left" w:pos="0"/>
                <w:tab w:val="left" w:pos="851"/>
              </w:tabs>
              <w:jc w:val="both"/>
              <w:rPr>
                <w:rFonts w:ascii="Times New Roman" w:hAnsi="Times New Roman" w:cs="Times New Roman"/>
                <w:lang w:val="ro-RO" w:eastAsia="ru-RU"/>
              </w:rPr>
            </w:pPr>
            <w:r w:rsidRPr="007B4B28">
              <w:rPr>
                <w:rFonts w:ascii="Times New Roman" w:hAnsi="Times New Roman" w:cs="Times New Roman"/>
                <w:lang w:val="ro-RO"/>
              </w:rPr>
              <w:t>Pct. 433</w:t>
            </w:r>
            <w:r w:rsidRPr="007B4B28">
              <w:rPr>
                <w:rFonts w:ascii="Times New Roman" w:hAnsi="Times New Roman" w:cs="Times New Roman"/>
                <w:vertAlign w:val="superscript"/>
                <w:lang w:val="ro-RO"/>
              </w:rPr>
              <w:t>89</w:t>
            </w:r>
          </w:p>
        </w:tc>
        <w:tc>
          <w:tcPr>
            <w:tcW w:w="536" w:type="pct"/>
          </w:tcPr>
          <w:p w14:paraId="021399A6" w14:textId="40C8B22C" w:rsidR="00395552" w:rsidRPr="007B4B28" w:rsidRDefault="00395552" w:rsidP="00BB1A04">
            <w:pPr>
              <w:rPr>
                <w:sz w:val="22"/>
                <w:szCs w:val="22"/>
                <w:lang w:val="en-GB"/>
              </w:rPr>
            </w:pPr>
            <w:r w:rsidRPr="007B4B28">
              <w:rPr>
                <w:sz w:val="22"/>
                <w:szCs w:val="22"/>
                <w:lang w:val="en-GB"/>
              </w:rPr>
              <w:t>SA “Moldovagaz”</w:t>
            </w:r>
          </w:p>
        </w:tc>
        <w:tc>
          <w:tcPr>
            <w:tcW w:w="3065" w:type="pct"/>
            <w:gridSpan w:val="2"/>
          </w:tcPr>
          <w:p w14:paraId="059AA127" w14:textId="3DD806D8" w:rsidR="00395552" w:rsidRPr="007B4B28" w:rsidRDefault="00395552" w:rsidP="00335651">
            <w:pPr>
              <w:pStyle w:val="NoSpacing"/>
              <w:tabs>
                <w:tab w:val="left" w:pos="0"/>
                <w:tab w:val="left" w:pos="851"/>
              </w:tabs>
              <w:ind w:hanging="21"/>
              <w:jc w:val="both"/>
              <w:rPr>
                <w:rFonts w:ascii="Times New Roman" w:hAnsi="Times New Roman" w:cs="Times New Roman"/>
                <w:lang w:val="ro-RO" w:eastAsia="ru-RU"/>
              </w:rPr>
            </w:pPr>
            <w:r w:rsidRPr="007B4B28">
              <w:rPr>
                <w:rFonts w:ascii="Times New Roman" w:hAnsi="Times New Roman" w:cs="Times New Roman"/>
                <w:lang w:val="ro-RO"/>
              </w:rPr>
              <w:t xml:space="preserve"> 433</w:t>
            </w:r>
            <w:r w:rsidRPr="007B4B28">
              <w:rPr>
                <w:rFonts w:ascii="Times New Roman" w:hAnsi="Times New Roman" w:cs="Times New Roman"/>
                <w:vertAlign w:val="superscript"/>
                <w:lang w:val="ro-RO"/>
              </w:rPr>
              <w:t>89</w:t>
            </w:r>
            <w:r>
              <w:rPr>
                <w:rFonts w:ascii="Times New Roman" w:hAnsi="Times New Roman" w:cs="Times New Roman"/>
                <w:vertAlign w:val="superscript"/>
                <w:lang w:val="ro-RO"/>
              </w:rPr>
              <w:t>- 90</w:t>
            </w:r>
            <w:r w:rsidRPr="007B4B28">
              <w:rPr>
                <w:rFonts w:ascii="Times New Roman" w:hAnsi="Times New Roman" w:cs="Times New Roman"/>
                <w:lang w:val="ro-RO" w:eastAsia="ru-RU"/>
              </w:rPr>
              <w:t>Textul „</w:t>
            </w:r>
            <w:r w:rsidRPr="007B4B28">
              <w:rPr>
                <w:rFonts w:ascii="Times New Roman" w:hAnsi="Times New Roman" w:cs="Times New Roman"/>
                <w:i/>
                <w:lang w:val="ro-RO" w:eastAsia="ru-RU"/>
              </w:rPr>
              <w:t>plata de</w:t>
            </w:r>
            <w:r w:rsidRPr="007B4B28">
              <w:rPr>
                <w:rFonts w:ascii="Times New Roman" w:hAnsi="Times New Roman" w:cs="Times New Roman"/>
                <w:lang w:val="ro-RO" w:eastAsia="ru-RU"/>
              </w:rPr>
              <w:t>” se va substitui cu textul „</w:t>
            </w:r>
            <w:r w:rsidRPr="007B4B28">
              <w:rPr>
                <w:rFonts w:ascii="Times New Roman" w:hAnsi="Times New Roman" w:cs="Times New Roman"/>
                <w:i/>
                <w:lang w:val="ro-RO" w:eastAsia="ru-RU"/>
              </w:rPr>
              <w:t>plata pentru</w:t>
            </w:r>
            <w:r w:rsidRPr="007B4B28">
              <w:rPr>
                <w:rFonts w:ascii="Times New Roman" w:hAnsi="Times New Roman" w:cs="Times New Roman"/>
                <w:lang w:val="ro-RO" w:eastAsia="ru-RU"/>
              </w:rPr>
              <w:t>”;</w:t>
            </w:r>
          </w:p>
          <w:p w14:paraId="4D7F60DF" w14:textId="40E200BC" w:rsidR="00395552" w:rsidRPr="007B4B28" w:rsidRDefault="00395552" w:rsidP="000F043B">
            <w:pPr>
              <w:pStyle w:val="NoSpacing"/>
              <w:tabs>
                <w:tab w:val="left" w:pos="0"/>
                <w:tab w:val="left" w:pos="851"/>
                <w:tab w:val="left" w:pos="1134"/>
              </w:tabs>
              <w:jc w:val="both"/>
              <w:rPr>
                <w:rFonts w:ascii="Times New Roman" w:hAnsi="Times New Roman" w:cs="Times New Roman"/>
                <w:i/>
                <w:lang w:val="ro-RO"/>
              </w:rPr>
            </w:pPr>
          </w:p>
        </w:tc>
        <w:tc>
          <w:tcPr>
            <w:cnfStyle w:val="000100000000" w:firstRow="0" w:lastRow="0" w:firstColumn="0" w:lastColumn="1" w:oddVBand="0" w:evenVBand="0" w:oddHBand="0" w:evenHBand="0" w:firstRowFirstColumn="0" w:firstRowLastColumn="0" w:lastRowFirstColumn="0" w:lastRowLastColumn="0"/>
            <w:tcW w:w="1060" w:type="pct"/>
          </w:tcPr>
          <w:p w14:paraId="2AB42826" w14:textId="6AB5407A" w:rsidR="00395552" w:rsidRPr="007B4B28" w:rsidRDefault="00395552" w:rsidP="008A3E25">
            <w:pPr>
              <w:jc w:val="both"/>
              <w:rPr>
                <w:sz w:val="22"/>
                <w:szCs w:val="22"/>
                <w:lang w:val="ro-MD"/>
              </w:rPr>
            </w:pPr>
            <w:r>
              <w:rPr>
                <w:sz w:val="22"/>
                <w:szCs w:val="22"/>
                <w:lang w:val="ro-MD"/>
              </w:rPr>
              <w:t>Se acceptă</w:t>
            </w:r>
          </w:p>
        </w:tc>
      </w:tr>
      <w:tr w:rsidR="0077611E" w:rsidRPr="00511A6A" w14:paraId="63732245" w14:textId="77777777" w:rsidTr="001648D4">
        <w:trPr>
          <w:trHeight w:val="70"/>
        </w:trPr>
        <w:tc>
          <w:tcPr>
            <w:tcW w:w="339" w:type="pct"/>
          </w:tcPr>
          <w:p w14:paraId="6B070A5F" w14:textId="27644D9F" w:rsidR="0077611E" w:rsidRPr="007B4B28" w:rsidRDefault="0077611E" w:rsidP="00BB1A04">
            <w:pPr>
              <w:pStyle w:val="NoSpacing"/>
              <w:tabs>
                <w:tab w:val="left" w:pos="0"/>
                <w:tab w:val="left" w:pos="851"/>
              </w:tabs>
              <w:jc w:val="both"/>
              <w:rPr>
                <w:rFonts w:ascii="Times New Roman" w:hAnsi="Times New Roman" w:cs="Times New Roman"/>
                <w:lang w:val="ro-RO" w:eastAsia="ru-RU"/>
              </w:rPr>
            </w:pPr>
            <w:r w:rsidRPr="007B4B28">
              <w:rPr>
                <w:rFonts w:ascii="Times New Roman" w:hAnsi="Times New Roman" w:cs="Times New Roman"/>
                <w:lang w:val="ro-RO" w:eastAsia="ru-RU"/>
              </w:rPr>
              <w:t>Pct. 433</w:t>
            </w:r>
            <w:r w:rsidRPr="007B4B28">
              <w:rPr>
                <w:rFonts w:ascii="Times New Roman" w:hAnsi="Times New Roman" w:cs="Times New Roman"/>
                <w:vertAlign w:val="superscript"/>
                <w:lang w:val="ro-RO" w:eastAsia="ru-RU"/>
              </w:rPr>
              <w:t>91</w:t>
            </w:r>
          </w:p>
        </w:tc>
        <w:tc>
          <w:tcPr>
            <w:tcW w:w="536" w:type="pct"/>
          </w:tcPr>
          <w:p w14:paraId="0825C624" w14:textId="3A1987D6" w:rsidR="0077611E" w:rsidRPr="007B4B28" w:rsidRDefault="0077611E" w:rsidP="00BB1A04">
            <w:pPr>
              <w:rPr>
                <w:sz w:val="22"/>
                <w:szCs w:val="22"/>
                <w:lang w:val="en-GB"/>
              </w:rPr>
            </w:pPr>
            <w:r w:rsidRPr="007B4B28">
              <w:rPr>
                <w:sz w:val="22"/>
                <w:szCs w:val="22"/>
                <w:lang w:val="en-GB"/>
              </w:rPr>
              <w:t>SA “Moldovagaz”</w:t>
            </w:r>
          </w:p>
        </w:tc>
        <w:tc>
          <w:tcPr>
            <w:tcW w:w="1528" w:type="pct"/>
          </w:tcPr>
          <w:p w14:paraId="2C2F0EA6" w14:textId="0FB6E9A8" w:rsidR="0077611E" w:rsidRPr="007B4B28" w:rsidRDefault="00912877" w:rsidP="00BB1A04">
            <w:pPr>
              <w:pStyle w:val="NormalWeb"/>
              <w:tabs>
                <w:tab w:val="left" w:pos="851"/>
              </w:tabs>
              <w:ind w:firstLine="0"/>
              <w:rPr>
                <w:bCs/>
                <w:color w:val="000000"/>
                <w:sz w:val="22"/>
                <w:szCs w:val="22"/>
                <w:lang w:val="ro-MD"/>
              </w:rPr>
            </w:pPr>
            <w:r w:rsidRPr="007B4B28">
              <w:rPr>
                <w:sz w:val="22"/>
                <w:szCs w:val="22"/>
                <w:lang w:val="ro-MD"/>
              </w:rPr>
              <w:t xml:space="preserve">Un OST are dreptul să aplice obligații intrazilnice doar pentru a stimula utilizatorii de sistem să-și gestioneze </w:t>
            </w:r>
            <w:r w:rsidRPr="00395552">
              <w:rPr>
                <w:b/>
                <w:sz w:val="22"/>
                <w:szCs w:val="22"/>
                <w:lang w:val="ro-MD"/>
              </w:rPr>
              <w:t>poziția</w:t>
            </w:r>
            <w:r w:rsidRPr="007B4B28">
              <w:rPr>
                <w:sz w:val="22"/>
                <w:szCs w:val="22"/>
                <w:lang w:val="ro-MD"/>
              </w:rPr>
              <w:t xml:space="preserve"> intrazilnică în vederea </w:t>
            </w:r>
            <w:r w:rsidRPr="00395552">
              <w:rPr>
                <w:b/>
                <w:sz w:val="22"/>
                <w:szCs w:val="22"/>
                <w:lang w:val="ro-MD"/>
              </w:rPr>
              <w:t>garantării</w:t>
            </w:r>
            <w:r w:rsidRPr="007B4B28">
              <w:rPr>
                <w:sz w:val="22"/>
                <w:szCs w:val="22"/>
                <w:lang w:val="ro-MD"/>
              </w:rPr>
              <w:t xml:space="preserve"> integrității sistemice a rețelei </w:t>
            </w:r>
            <w:r w:rsidRPr="007B4B28">
              <w:rPr>
                <w:sz w:val="22"/>
                <w:szCs w:val="22"/>
                <w:lang w:val="ro-MD"/>
              </w:rPr>
              <w:lastRenderedPageBreak/>
              <w:t>sale de transport și a reducerii la minimum a necesității de a întreprinde acțiuni de echilibrare</w:t>
            </w:r>
          </w:p>
        </w:tc>
        <w:tc>
          <w:tcPr>
            <w:tcW w:w="1537" w:type="pct"/>
          </w:tcPr>
          <w:p w14:paraId="2451B94B" w14:textId="62A8B4D5" w:rsidR="0077611E" w:rsidRPr="00395552" w:rsidRDefault="0077611E" w:rsidP="00395552">
            <w:pPr>
              <w:pStyle w:val="NoSpacing"/>
              <w:tabs>
                <w:tab w:val="left" w:pos="0"/>
                <w:tab w:val="left" w:pos="709"/>
              </w:tabs>
              <w:jc w:val="both"/>
              <w:rPr>
                <w:rFonts w:ascii="Times New Roman" w:hAnsi="Times New Roman" w:cs="Times New Roman"/>
                <w:lang w:val="ro-RO"/>
              </w:rPr>
            </w:pPr>
            <w:r w:rsidRPr="007B4B28">
              <w:rPr>
                <w:rFonts w:ascii="Times New Roman" w:hAnsi="Times New Roman" w:cs="Times New Roman"/>
                <w:lang w:val="ro-RO"/>
              </w:rPr>
              <w:lastRenderedPageBreak/>
              <w:t>De modificat și se va expune în următoarea redacție: „</w:t>
            </w:r>
            <w:r w:rsidRPr="007B4B28">
              <w:rPr>
                <w:rFonts w:ascii="Times New Roman" w:hAnsi="Times New Roman" w:cs="Times New Roman"/>
                <w:i/>
                <w:lang w:val="ro-RO"/>
              </w:rPr>
              <w:t xml:space="preserve">Un OST are dreptul să aplice obligații intrazilnice doar pentru a stimula utilizatorii de sistem să-și gestioneze </w:t>
            </w:r>
            <w:r w:rsidRPr="00395552">
              <w:rPr>
                <w:rFonts w:ascii="Times New Roman" w:hAnsi="Times New Roman" w:cs="Times New Roman"/>
                <w:b/>
                <w:i/>
                <w:lang w:val="ro-RO"/>
              </w:rPr>
              <w:t>activitatea</w:t>
            </w:r>
            <w:r w:rsidRPr="007B4B28">
              <w:rPr>
                <w:rFonts w:ascii="Times New Roman" w:hAnsi="Times New Roman" w:cs="Times New Roman"/>
                <w:i/>
                <w:lang w:val="ro-RO"/>
              </w:rPr>
              <w:t xml:space="preserve"> intrazilnică în vederea </w:t>
            </w:r>
            <w:r w:rsidRPr="00395552">
              <w:rPr>
                <w:rFonts w:ascii="Times New Roman" w:hAnsi="Times New Roman" w:cs="Times New Roman"/>
                <w:b/>
                <w:i/>
                <w:lang w:val="ro-RO"/>
              </w:rPr>
              <w:t>asigurării</w:t>
            </w:r>
            <w:r w:rsidRPr="007B4B28">
              <w:rPr>
                <w:rFonts w:ascii="Times New Roman" w:hAnsi="Times New Roman" w:cs="Times New Roman"/>
                <w:i/>
                <w:lang w:val="ro-RO"/>
              </w:rPr>
              <w:t xml:space="preserve"> integrității sistemului de </w:t>
            </w:r>
            <w:r w:rsidRPr="007B4B28">
              <w:rPr>
                <w:rFonts w:ascii="Times New Roman" w:hAnsi="Times New Roman" w:cs="Times New Roman"/>
                <w:i/>
                <w:lang w:val="ro-RO"/>
              </w:rPr>
              <w:lastRenderedPageBreak/>
              <w:t>transport și a reducerii la minim a necesității de a întreprinde acțiuni de echilibrare.”</w:t>
            </w:r>
          </w:p>
        </w:tc>
        <w:tc>
          <w:tcPr>
            <w:cnfStyle w:val="000100000000" w:firstRow="0" w:lastRow="0" w:firstColumn="0" w:lastColumn="1" w:oddVBand="0" w:evenVBand="0" w:oddHBand="0" w:evenHBand="0" w:firstRowFirstColumn="0" w:firstRowLastColumn="0" w:lastRowFirstColumn="0" w:lastRowLastColumn="0"/>
            <w:tcW w:w="1060" w:type="pct"/>
          </w:tcPr>
          <w:p w14:paraId="3C22A625" w14:textId="77777777" w:rsidR="00395552" w:rsidRDefault="00395552" w:rsidP="00A33BDA">
            <w:pPr>
              <w:jc w:val="both"/>
              <w:rPr>
                <w:b w:val="0"/>
                <w:i/>
                <w:lang w:val="ro-MD"/>
              </w:rPr>
            </w:pPr>
            <w:r>
              <w:rPr>
                <w:sz w:val="22"/>
                <w:szCs w:val="22"/>
                <w:lang w:val="ro-MD"/>
              </w:rPr>
              <w:lastRenderedPageBreak/>
              <w:t>Se acceptă parțial</w:t>
            </w:r>
            <w:r w:rsidR="00A33BDA">
              <w:rPr>
                <w:sz w:val="22"/>
                <w:szCs w:val="22"/>
                <w:lang w:val="ro-MD"/>
              </w:rPr>
              <w:t xml:space="preserve"> în umătoarea redacție:</w:t>
            </w:r>
            <w:r w:rsidR="00A33BDA" w:rsidRPr="00A33BDA">
              <w:rPr>
                <w:b w:val="0"/>
                <w:i/>
                <w:sz w:val="22"/>
                <w:szCs w:val="22"/>
                <w:lang w:val="ro-MD"/>
              </w:rPr>
              <w:t xml:space="preserve"> </w:t>
            </w:r>
            <w:r w:rsidR="00A33BDA" w:rsidRPr="00A33BDA">
              <w:rPr>
                <w:b w:val="0"/>
                <w:i/>
                <w:sz w:val="22"/>
                <w:szCs w:val="22"/>
                <w:lang w:val="en-GB"/>
              </w:rPr>
              <w:t>“</w:t>
            </w:r>
            <w:r w:rsidRPr="00A33BDA">
              <w:rPr>
                <w:b w:val="0"/>
                <w:i/>
                <w:sz w:val="22"/>
                <w:szCs w:val="22"/>
                <w:lang w:val="ro-MD"/>
              </w:rPr>
              <w:t xml:space="preserve"> </w:t>
            </w:r>
            <w:r w:rsidR="00A33BDA" w:rsidRPr="00A33BDA">
              <w:rPr>
                <w:b w:val="0"/>
                <w:i/>
                <w:lang w:val="ro-MD"/>
              </w:rPr>
              <w:t xml:space="preserve">Un OST are dreptul să aplice obligații intrazilnice doar pentru a stimula utilizatorii de sistem </w:t>
            </w:r>
            <w:r w:rsidR="00A33BDA" w:rsidRPr="00A33BDA">
              <w:rPr>
                <w:b w:val="0"/>
                <w:i/>
                <w:lang w:val="ro-MD"/>
              </w:rPr>
              <w:lastRenderedPageBreak/>
              <w:t xml:space="preserve">să-și </w:t>
            </w:r>
            <w:r w:rsidR="00A33BDA" w:rsidRPr="00511A6A">
              <w:rPr>
                <w:b w:val="0"/>
                <w:i/>
                <w:lang w:val="ro-MD"/>
              </w:rPr>
              <w:t xml:space="preserve">gestioneze </w:t>
            </w:r>
            <w:r w:rsidR="00A33BDA" w:rsidRPr="00511A6A">
              <w:rPr>
                <w:b w:val="0"/>
                <w:lang w:val="ro-MD"/>
              </w:rPr>
              <w:t>poziția</w:t>
            </w:r>
            <w:r w:rsidR="00A33BDA" w:rsidRPr="00A33BDA">
              <w:rPr>
                <w:b w:val="0"/>
                <w:i/>
                <w:lang w:val="ro-MD"/>
              </w:rPr>
              <w:t xml:space="preserve"> intrazilnică în vederea garantării integrității sistemului de transport al gazelor naturale și a reducerii la minimum a necesității de a întreprinde acțiuni de echilibrare”.</w:t>
            </w:r>
          </w:p>
          <w:p w14:paraId="6E3E348E" w14:textId="1933A10B" w:rsidR="00A33BDA" w:rsidRPr="00A33BDA" w:rsidRDefault="00A33BDA" w:rsidP="00A33BDA">
            <w:pPr>
              <w:jc w:val="both"/>
              <w:rPr>
                <w:sz w:val="22"/>
                <w:szCs w:val="22"/>
                <w:lang w:val="ro-MD"/>
              </w:rPr>
            </w:pPr>
          </w:p>
        </w:tc>
      </w:tr>
      <w:tr w:rsidR="0077611E" w:rsidRPr="00511A6A" w14:paraId="5E760027" w14:textId="77777777" w:rsidTr="001648D4">
        <w:trPr>
          <w:trHeight w:val="70"/>
        </w:trPr>
        <w:tc>
          <w:tcPr>
            <w:tcW w:w="339" w:type="pct"/>
          </w:tcPr>
          <w:p w14:paraId="73AA3249" w14:textId="01B25369" w:rsidR="0077611E" w:rsidRPr="007B4B28" w:rsidRDefault="0077611E" w:rsidP="00BB1A04">
            <w:pPr>
              <w:pStyle w:val="NoSpacing"/>
              <w:tabs>
                <w:tab w:val="left" w:pos="0"/>
                <w:tab w:val="left" w:pos="851"/>
              </w:tabs>
              <w:jc w:val="both"/>
              <w:rPr>
                <w:rFonts w:ascii="Times New Roman" w:hAnsi="Times New Roman" w:cs="Times New Roman"/>
                <w:lang w:val="ro-RO" w:eastAsia="ru-RU"/>
              </w:rPr>
            </w:pPr>
            <w:r w:rsidRPr="007B4B28">
              <w:rPr>
                <w:rFonts w:ascii="Times New Roman" w:hAnsi="Times New Roman" w:cs="Times New Roman"/>
                <w:lang w:val="ro-RO" w:eastAsia="ru-RU"/>
              </w:rPr>
              <w:lastRenderedPageBreak/>
              <w:t xml:space="preserve"> Pct. 433</w:t>
            </w:r>
            <w:r w:rsidRPr="007B4B28">
              <w:rPr>
                <w:rFonts w:ascii="Times New Roman" w:hAnsi="Times New Roman" w:cs="Times New Roman"/>
                <w:vertAlign w:val="superscript"/>
                <w:lang w:val="ro-RO" w:eastAsia="ru-RU"/>
              </w:rPr>
              <w:t>92</w:t>
            </w:r>
          </w:p>
        </w:tc>
        <w:tc>
          <w:tcPr>
            <w:tcW w:w="536" w:type="pct"/>
          </w:tcPr>
          <w:p w14:paraId="635813E7" w14:textId="3B648EC9" w:rsidR="0077611E" w:rsidRPr="007B4B28" w:rsidRDefault="0077611E" w:rsidP="00BB1A04">
            <w:pPr>
              <w:rPr>
                <w:sz w:val="22"/>
                <w:szCs w:val="22"/>
                <w:lang w:val="en-GB"/>
              </w:rPr>
            </w:pPr>
            <w:r w:rsidRPr="007B4B28">
              <w:rPr>
                <w:sz w:val="22"/>
                <w:szCs w:val="22"/>
                <w:lang w:val="en-GB"/>
              </w:rPr>
              <w:t>SA “Moldovagaz”</w:t>
            </w:r>
          </w:p>
        </w:tc>
        <w:tc>
          <w:tcPr>
            <w:tcW w:w="1528" w:type="pct"/>
          </w:tcPr>
          <w:p w14:paraId="450068A6" w14:textId="42BE93A2" w:rsidR="0077611E" w:rsidRPr="007B4B28" w:rsidRDefault="00912877" w:rsidP="00BB1A04">
            <w:pPr>
              <w:pStyle w:val="NormalWeb"/>
              <w:tabs>
                <w:tab w:val="left" w:pos="851"/>
              </w:tabs>
              <w:ind w:firstLine="0"/>
              <w:rPr>
                <w:bCs/>
                <w:color w:val="000000"/>
                <w:sz w:val="22"/>
                <w:szCs w:val="22"/>
                <w:lang w:val="ro-MD"/>
              </w:rPr>
            </w:pPr>
            <w:r w:rsidRPr="007B4B28">
              <w:rPr>
                <w:sz w:val="22"/>
                <w:szCs w:val="22"/>
                <w:lang w:val="ro-MD"/>
              </w:rPr>
              <w:t>Atunci când OST i se solicită să transmită informații utilizatorilor de sistem pentru a le permite să își gestioneze expunerile asociate pozițiilor din cursul zilei, astfel de informații le vor fi transmise în mod regulat. Dacă este cazul, informațiile sunt transmise o singură dată pe baza unei cereri formulate de către fiecare utilizator de sistem în parte.</w:t>
            </w:r>
          </w:p>
        </w:tc>
        <w:tc>
          <w:tcPr>
            <w:tcW w:w="1537" w:type="pct"/>
          </w:tcPr>
          <w:p w14:paraId="77140680" w14:textId="4B588853" w:rsidR="0077611E" w:rsidRPr="007B4B28" w:rsidRDefault="0077611E" w:rsidP="00335651">
            <w:pPr>
              <w:pStyle w:val="NoSpacing"/>
              <w:tabs>
                <w:tab w:val="left" w:pos="0"/>
                <w:tab w:val="left" w:pos="851"/>
              </w:tabs>
              <w:jc w:val="both"/>
              <w:rPr>
                <w:rFonts w:ascii="Times New Roman" w:hAnsi="Times New Roman" w:cs="Times New Roman"/>
                <w:lang w:val="ro-RO" w:eastAsia="ru-RU"/>
              </w:rPr>
            </w:pPr>
            <w:r w:rsidRPr="007B4B28">
              <w:rPr>
                <w:rFonts w:ascii="Times New Roman" w:hAnsi="Times New Roman" w:cs="Times New Roman"/>
                <w:lang w:val="ro-RO" w:eastAsia="ru-RU"/>
              </w:rPr>
              <w:t>Textul „</w:t>
            </w:r>
            <w:r w:rsidRPr="007B4B28">
              <w:rPr>
                <w:rFonts w:ascii="Times New Roman" w:hAnsi="Times New Roman" w:cs="Times New Roman"/>
                <w:i/>
                <w:lang w:val="ro-RO" w:eastAsia="ru-RU"/>
              </w:rPr>
              <w:t>asociate pozițiilor</w:t>
            </w:r>
            <w:r w:rsidRPr="007B4B28">
              <w:rPr>
                <w:rFonts w:ascii="Times New Roman" w:hAnsi="Times New Roman" w:cs="Times New Roman"/>
                <w:lang w:val="ro-RO" w:eastAsia="ru-RU"/>
              </w:rPr>
              <w:t>” se va substitui cu textul „</w:t>
            </w:r>
            <w:r w:rsidRPr="007B4B28">
              <w:rPr>
                <w:rFonts w:ascii="Times New Roman" w:hAnsi="Times New Roman" w:cs="Times New Roman"/>
                <w:i/>
                <w:lang w:val="ro-RO" w:eastAsia="ru-RU"/>
              </w:rPr>
              <w:t>la activitățile</w:t>
            </w:r>
            <w:r w:rsidRPr="007B4B28">
              <w:rPr>
                <w:rFonts w:ascii="Times New Roman" w:hAnsi="Times New Roman" w:cs="Times New Roman"/>
                <w:lang w:val="ro-RO" w:eastAsia="ru-RU"/>
              </w:rPr>
              <w:t>”;</w:t>
            </w:r>
          </w:p>
          <w:p w14:paraId="3BBB7914" w14:textId="77777777" w:rsidR="0077611E" w:rsidRPr="007B4B28" w:rsidRDefault="0077611E" w:rsidP="008A3E25">
            <w:pPr>
              <w:pStyle w:val="NoSpacing"/>
              <w:tabs>
                <w:tab w:val="left" w:pos="0"/>
                <w:tab w:val="left" w:pos="709"/>
              </w:tabs>
              <w:jc w:val="both"/>
              <w:rPr>
                <w:rFonts w:ascii="Times New Roman" w:hAnsi="Times New Roman" w:cs="Times New Roman"/>
                <w:lang w:val="ro-RO" w:eastAsia="ru-RU"/>
              </w:rPr>
            </w:pPr>
          </w:p>
        </w:tc>
        <w:tc>
          <w:tcPr>
            <w:cnfStyle w:val="000100000000" w:firstRow="0" w:lastRow="0" w:firstColumn="0" w:lastColumn="1" w:oddVBand="0" w:evenVBand="0" w:oddHBand="0" w:evenHBand="0" w:firstRowFirstColumn="0" w:firstRowLastColumn="0" w:lastRowFirstColumn="0" w:lastRowLastColumn="0"/>
            <w:tcW w:w="1060" w:type="pct"/>
          </w:tcPr>
          <w:p w14:paraId="64D36308" w14:textId="7E3BEC06" w:rsidR="0077611E" w:rsidRDefault="00A33BDA" w:rsidP="008A3E25">
            <w:pPr>
              <w:jc w:val="both"/>
              <w:rPr>
                <w:sz w:val="22"/>
                <w:szCs w:val="22"/>
                <w:lang w:val="ro-MD"/>
              </w:rPr>
            </w:pPr>
            <w:r>
              <w:rPr>
                <w:sz w:val="22"/>
                <w:szCs w:val="22"/>
                <w:lang w:val="ro-MD"/>
              </w:rPr>
              <w:t>Nu s</w:t>
            </w:r>
            <w:r w:rsidR="0004276F">
              <w:rPr>
                <w:sz w:val="22"/>
                <w:szCs w:val="22"/>
                <w:lang w:val="ro-MD"/>
              </w:rPr>
              <w:t>e acceptă</w:t>
            </w:r>
            <w:r>
              <w:rPr>
                <w:sz w:val="22"/>
                <w:szCs w:val="22"/>
                <w:lang w:val="ro-MD"/>
              </w:rPr>
              <w:t xml:space="preserve">. </w:t>
            </w:r>
          </w:p>
          <w:p w14:paraId="16218E7F" w14:textId="62DE2052" w:rsidR="00A33BDA" w:rsidRPr="00A33BDA" w:rsidRDefault="00A33BDA" w:rsidP="008A3E25">
            <w:pPr>
              <w:jc w:val="both"/>
              <w:rPr>
                <w:b w:val="0"/>
                <w:sz w:val="22"/>
                <w:szCs w:val="22"/>
                <w:lang w:val="ro-MD"/>
              </w:rPr>
            </w:pPr>
            <w:r w:rsidRPr="00A33BDA">
              <w:rPr>
                <w:b w:val="0"/>
                <w:sz w:val="22"/>
                <w:szCs w:val="22"/>
                <w:lang w:val="ro-MD"/>
              </w:rPr>
              <w:t xml:space="preserve">Termenul de </w:t>
            </w:r>
            <w:r>
              <w:rPr>
                <w:b w:val="0"/>
                <w:sz w:val="22"/>
                <w:szCs w:val="22"/>
                <w:lang w:val="ro-MD"/>
              </w:rPr>
              <w:t>„</w:t>
            </w:r>
            <w:r w:rsidRPr="00A33BDA">
              <w:rPr>
                <w:b w:val="0"/>
                <w:sz w:val="22"/>
                <w:szCs w:val="22"/>
                <w:lang w:val="ro-MD"/>
              </w:rPr>
              <w:t>poziție</w:t>
            </w:r>
            <w:r>
              <w:rPr>
                <w:b w:val="0"/>
                <w:sz w:val="22"/>
                <w:szCs w:val="22"/>
                <w:lang w:val="ro-MD"/>
              </w:rPr>
              <w:t>”</w:t>
            </w:r>
            <w:r w:rsidRPr="00A33BDA">
              <w:rPr>
                <w:b w:val="0"/>
                <w:sz w:val="22"/>
                <w:szCs w:val="22"/>
                <w:lang w:val="ro-MD"/>
              </w:rPr>
              <w:t xml:space="preserve"> este utilizat în textul Regulamentului UE 312/2014. </w:t>
            </w:r>
            <w:r>
              <w:rPr>
                <w:b w:val="0"/>
                <w:sz w:val="22"/>
                <w:szCs w:val="22"/>
                <w:lang w:val="ro-MD"/>
              </w:rPr>
              <w:t xml:space="preserve"> </w:t>
            </w:r>
            <w:r w:rsidRPr="00A33BDA">
              <w:rPr>
                <w:b w:val="0"/>
                <w:sz w:val="22"/>
                <w:szCs w:val="22"/>
                <w:lang w:val="ro-MD"/>
              </w:rPr>
              <w:t xml:space="preserve">Pentru claritate </w:t>
            </w:r>
            <w:r>
              <w:rPr>
                <w:b w:val="0"/>
                <w:sz w:val="22"/>
                <w:szCs w:val="22"/>
                <w:lang w:val="ro-MD"/>
              </w:rPr>
              <w:t xml:space="preserve">s-a verificat </w:t>
            </w:r>
            <w:r w:rsidR="001B129C">
              <w:rPr>
                <w:b w:val="0"/>
                <w:sz w:val="22"/>
                <w:szCs w:val="22"/>
                <w:lang w:val="ro-MD"/>
              </w:rPr>
              <w:t xml:space="preserve"> traducerea oficiala a textului în mai multe limbi î</w:t>
            </w:r>
            <w:r>
              <w:rPr>
                <w:b w:val="0"/>
                <w:sz w:val="22"/>
                <w:szCs w:val="22"/>
                <w:lang w:val="ro-MD"/>
              </w:rPr>
              <w:t>n care este publicat Regulamen</w:t>
            </w:r>
            <w:r w:rsidR="001B129C">
              <w:rPr>
                <w:b w:val="0"/>
                <w:sz w:val="22"/>
                <w:szCs w:val="22"/>
                <w:lang w:val="ro-MD"/>
              </w:rPr>
              <w:t>tul.</w:t>
            </w:r>
          </w:p>
          <w:p w14:paraId="2220C6C4" w14:textId="55CC629E" w:rsidR="00A33BDA" w:rsidRPr="007B4B28" w:rsidRDefault="00A33BDA" w:rsidP="008A3E25">
            <w:pPr>
              <w:jc w:val="both"/>
              <w:rPr>
                <w:sz w:val="22"/>
                <w:szCs w:val="22"/>
                <w:lang w:val="ro-MD"/>
              </w:rPr>
            </w:pPr>
            <w:r w:rsidRPr="00A33BDA">
              <w:rPr>
                <w:b w:val="0"/>
                <w:lang w:val="ro-MD"/>
              </w:rPr>
              <w:t>A se vedea pct. 7; pct. 167(2) din Reguli.</w:t>
            </w:r>
          </w:p>
        </w:tc>
      </w:tr>
      <w:tr w:rsidR="0077611E" w:rsidRPr="007B4B28" w14:paraId="4CC5C323" w14:textId="77777777" w:rsidTr="001648D4">
        <w:trPr>
          <w:trHeight w:val="70"/>
        </w:trPr>
        <w:tc>
          <w:tcPr>
            <w:tcW w:w="339" w:type="pct"/>
          </w:tcPr>
          <w:p w14:paraId="49007C1D" w14:textId="59D0CFB8" w:rsidR="0077611E" w:rsidRPr="007B4B28" w:rsidRDefault="0077611E" w:rsidP="00BB1A04">
            <w:pPr>
              <w:rPr>
                <w:sz w:val="22"/>
                <w:szCs w:val="22"/>
                <w:lang w:val="ro-RO"/>
              </w:rPr>
            </w:pPr>
            <w:r w:rsidRPr="007B4B28">
              <w:rPr>
                <w:sz w:val="22"/>
                <w:szCs w:val="22"/>
                <w:lang w:val="ro-RO"/>
              </w:rPr>
              <w:t>Pct. 433</w:t>
            </w:r>
            <w:r w:rsidRPr="007B4B28">
              <w:rPr>
                <w:sz w:val="22"/>
                <w:szCs w:val="22"/>
                <w:vertAlign w:val="superscript"/>
                <w:lang w:val="ro-RO"/>
              </w:rPr>
              <w:t>95</w:t>
            </w:r>
          </w:p>
        </w:tc>
        <w:tc>
          <w:tcPr>
            <w:tcW w:w="536" w:type="pct"/>
          </w:tcPr>
          <w:p w14:paraId="32A646EB" w14:textId="4F32692E" w:rsidR="0077611E" w:rsidRPr="007B4B28" w:rsidRDefault="0077611E" w:rsidP="00BB1A04">
            <w:pPr>
              <w:rPr>
                <w:sz w:val="22"/>
                <w:szCs w:val="22"/>
                <w:lang w:val="en-GB"/>
              </w:rPr>
            </w:pPr>
            <w:r w:rsidRPr="007B4B28">
              <w:rPr>
                <w:sz w:val="22"/>
                <w:szCs w:val="22"/>
                <w:lang w:val="en-GB"/>
              </w:rPr>
              <w:t>SA “Moldovagaz”</w:t>
            </w:r>
          </w:p>
        </w:tc>
        <w:tc>
          <w:tcPr>
            <w:tcW w:w="1528" w:type="pct"/>
          </w:tcPr>
          <w:p w14:paraId="01938E69" w14:textId="77777777" w:rsidR="00B879DE" w:rsidRPr="00004C82" w:rsidRDefault="00B879DE" w:rsidP="00BB1A04">
            <w:pPr>
              <w:jc w:val="both"/>
              <w:rPr>
                <w:sz w:val="22"/>
                <w:szCs w:val="22"/>
                <w:lang w:val="ro-MD"/>
              </w:rPr>
            </w:pPr>
            <w:r w:rsidRPr="00004C82">
              <w:rPr>
                <w:sz w:val="22"/>
                <w:szCs w:val="22"/>
                <w:lang w:val="ro-MD"/>
              </w:rPr>
              <w:t>Orice obligație intrazilnică trebuie să îndeplinească următoarele criterii:</w:t>
            </w:r>
          </w:p>
          <w:p w14:paraId="14CB016D" w14:textId="77777777" w:rsidR="00B879DE" w:rsidRPr="00004C82" w:rsidRDefault="00B879DE" w:rsidP="00335651">
            <w:pPr>
              <w:jc w:val="both"/>
              <w:rPr>
                <w:sz w:val="22"/>
                <w:szCs w:val="22"/>
                <w:lang w:val="ro-MD"/>
              </w:rPr>
            </w:pPr>
            <w:r w:rsidRPr="00004C82">
              <w:rPr>
                <w:sz w:val="22"/>
                <w:szCs w:val="22"/>
                <w:lang w:val="ro-MD"/>
              </w:rPr>
              <w:t>1) o obligație intrazilnică și plata aferentă, dacă aceasta există, nu creează bariere nejustificate în calea comerțului transfrontalier și a intrării pe piață a unor noi utilizatori de sistem;</w:t>
            </w:r>
          </w:p>
          <w:p w14:paraId="4B027DAD" w14:textId="77777777" w:rsidR="00B879DE" w:rsidRPr="00004C82" w:rsidRDefault="00B879DE" w:rsidP="008A3E25">
            <w:pPr>
              <w:jc w:val="both"/>
              <w:rPr>
                <w:sz w:val="22"/>
                <w:szCs w:val="22"/>
                <w:lang w:val="ro-MD"/>
              </w:rPr>
            </w:pPr>
            <w:r w:rsidRPr="00004C82">
              <w:rPr>
                <w:sz w:val="22"/>
                <w:szCs w:val="22"/>
                <w:lang w:val="ro-MD"/>
              </w:rPr>
              <w:t>2) o obligație intrazilnică se aplică numai atunci când utilizatorii de sistem primesc informații adecvate anterior aplicării unui potențial preț/plată în cursul zilei cu privire la intrările și/sau ieșirile acestora și au mijloace rezonabile să acționeze pentru a gestiona expunerea acestora;</w:t>
            </w:r>
          </w:p>
          <w:p w14:paraId="399C3B57" w14:textId="77777777" w:rsidR="00B879DE" w:rsidRPr="00004C82" w:rsidRDefault="00B879DE" w:rsidP="008A3E25">
            <w:pPr>
              <w:jc w:val="both"/>
              <w:rPr>
                <w:sz w:val="22"/>
                <w:szCs w:val="22"/>
                <w:lang w:val="ro-MD"/>
              </w:rPr>
            </w:pPr>
            <w:r w:rsidRPr="00004C82">
              <w:rPr>
                <w:sz w:val="22"/>
                <w:szCs w:val="22"/>
                <w:lang w:val="ro-MD"/>
              </w:rPr>
              <w:t>3) costurile principale care urmează să fie suportate de utilizatorii de sistem în legătură cu obligațiile de echilibrare ale acestora se raportează la poziția acestora la sfârșitul zilei gaziere;</w:t>
            </w:r>
          </w:p>
          <w:p w14:paraId="399D408A" w14:textId="77777777" w:rsidR="00B879DE" w:rsidRPr="00004C82" w:rsidRDefault="00B879DE" w:rsidP="008A3E25">
            <w:pPr>
              <w:jc w:val="both"/>
              <w:rPr>
                <w:sz w:val="22"/>
                <w:szCs w:val="22"/>
                <w:lang w:val="ro-MD"/>
              </w:rPr>
            </w:pPr>
            <w:r w:rsidRPr="00004C82">
              <w:rPr>
                <w:sz w:val="22"/>
                <w:szCs w:val="22"/>
                <w:lang w:val="ro-MD"/>
              </w:rPr>
              <w:lastRenderedPageBreak/>
              <w:t>4) în măsura în care este posibil, plățile în cursul zilei reflectă costurile OST pentru întreprinderea tuturor acțiunilor de echilibrare asociate;</w:t>
            </w:r>
          </w:p>
          <w:p w14:paraId="2FFB6BCE" w14:textId="34E724BE" w:rsidR="0077611E" w:rsidRPr="005F771C" w:rsidRDefault="00B879DE" w:rsidP="005F771C">
            <w:pPr>
              <w:jc w:val="both"/>
              <w:rPr>
                <w:sz w:val="22"/>
                <w:szCs w:val="22"/>
                <w:lang w:val="ro-MD"/>
              </w:rPr>
            </w:pPr>
            <w:r w:rsidRPr="00004C82">
              <w:rPr>
                <w:sz w:val="22"/>
                <w:szCs w:val="22"/>
                <w:lang w:val="ro-MD"/>
              </w:rPr>
              <w:t>5) o obligație intrazilnică nu conduce la o regularizare financiară a utilizatorilor de sistem pe poziț</w:t>
            </w:r>
            <w:r w:rsidR="005F771C">
              <w:rPr>
                <w:sz w:val="22"/>
                <w:szCs w:val="22"/>
                <w:lang w:val="ro-MD"/>
              </w:rPr>
              <w:t>ia zero pe durata zilei gaziere.</w:t>
            </w:r>
          </w:p>
        </w:tc>
        <w:tc>
          <w:tcPr>
            <w:tcW w:w="1537" w:type="pct"/>
          </w:tcPr>
          <w:p w14:paraId="2D60CC24" w14:textId="651BE6A2" w:rsidR="00B879DE" w:rsidRPr="00356C29" w:rsidRDefault="00B879DE" w:rsidP="008A3E25">
            <w:pPr>
              <w:tabs>
                <w:tab w:val="left" w:pos="0"/>
                <w:tab w:val="left" w:pos="851"/>
                <w:tab w:val="left" w:pos="1134"/>
              </w:tabs>
              <w:jc w:val="both"/>
              <w:rPr>
                <w:sz w:val="22"/>
                <w:szCs w:val="22"/>
                <w:lang w:val="en-US"/>
              </w:rPr>
            </w:pPr>
            <w:r w:rsidRPr="007B4B28">
              <w:rPr>
                <w:sz w:val="22"/>
                <w:szCs w:val="22"/>
                <w:lang w:val="ro-RO"/>
              </w:rPr>
              <w:lastRenderedPageBreak/>
              <w:t>Este necesar de a fi adus în concordanță cu pct. 168 din Reguli</w:t>
            </w:r>
            <w:r w:rsidR="00EF13E1">
              <w:rPr>
                <w:sz w:val="22"/>
                <w:szCs w:val="22"/>
                <w:lang w:val="ro-RO"/>
              </w:rPr>
              <w:t>.</w:t>
            </w:r>
          </w:p>
          <w:p w14:paraId="5B638DC8" w14:textId="77777777" w:rsidR="0077611E" w:rsidRPr="007B4B28" w:rsidRDefault="0077611E" w:rsidP="008A3E25">
            <w:pPr>
              <w:tabs>
                <w:tab w:val="left" w:pos="0"/>
                <w:tab w:val="left" w:pos="851"/>
                <w:tab w:val="left" w:pos="1134"/>
              </w:tabs>
              <w:jc w:val="both"/>
              <w:rPr>
                <w:sz w:val="22"/>
                <w:szCs w:val="22"/>
                <w:lang w:val="ro-RO"/>
              </w:rPr>
            </w:pPr>
          </w:p>
        </w:tc>
        <w:tc>
          <w:tcPr>
            <w:cnfStyle w:val="000100000000" w:firstRow="0" w:lastRow="0" w:firstColumn="0" w:lastColumn="1" w:oddVBand="0" w:evenVBand="0" w:oddHBand="0" w:evenHBand="0" w:firstRowFirstColumn="0" w:firstRowLastColumn="0" w:lastRowFirstColumn="0" w:lastRowLastColumn="0"/>
            <w:tcW w:w="1060" w:type="pct"/>
          </w:tcPr>
          <w:p w14:paraId="22A16B2C" w14:textId="715EC404" w:rsidR="0004276F" w:rsidRDefault="00193A57" w:rsidP="008A3E25">
            <w:pPr>
              <w:jc w:val="both"/>
              <w:rPr>
                <w:sz w:val="22"/>
                <w:szCs w:val="22"/>
                <w:lang w:val="ro-MD"/>
              </w:rPr>
            </w:pPr>
            <w:r>
              <w:rPr>
                <w:sz w:val="22"/>
                <w:szCs w:val="22"/>
                <w:lang w:val="ro-MD"/>
              </w:rPr>
              <w:t>Se acceptă</w:t>
            </w:r>
          </w:p>
          <w:p w14:paraId="6496CDD0" w14:textId="77777777" w:rsidR="0004276F" w:rsidRDefault="0004276F" w:rsidP="008A3E25">
            <w:pPr>
              <w:jc w:val="both"/>
              <w:rPr>
                <w:sz w:val="22"/>
                <w:szCs w:val="22"/>
                <w:lang w:val="ro-MD"/>
              </w:rPr>
            </w:pPr>
          </w:p>
          <w:p w14:paraId="15432A98" w14:textId="175CF7B0" w:rsidR="0004276F" w:rsidRPr="007B4B28" w:rsidRDefault="0004276F" w:rsidP="008A3E25">
            <w:pPr>
              <w:jc w:val="both"/>
              <w:rPr>
                <w:sz w:val="22"/>
                <w:szCs w:val="22"/>
                <w:lang w:val="ro-MD"/>
              </w:rPr>
            </w:pPr>
          </w:p>
        </w:tc>
      </w:tr>
      <w:tr w:rsidR="00004C82" w:rsidRPr="00511A6A" w14:paraId="1E92F52D" w14:textId="77777777" w:rsidTr="001648D4">
        <w:trPr>
          <w:trHeight w:val="70"/>
        </w:trPr>
        <w:tc>
          <w:tcPr>
            <w:tcW w:w="339" w:type="pct"/>
          </w:tcPr>
          <w:p w14:paraId="136371AD" w14:textId="77777777" w:rsidR="00004C82" w:rsidRDefault="00004C82" w:rsidP="00BB1A04">
            <w:pPr>
              <w:rPr>
                <w:sz w:val="22"/>
                <w:szCs w:val="22"/>
                <w:lang w:val="ro-RO"/>
              </w:rPr>
            </w:pPr>
            <w:r>
              <w:rPr>
                <w:sz w:val="22"/>
                <w:szCs w:val="22"/>
                <w:lang w:val="ro-RO"/>
              </w:rPr>
              <w:lastRenderedPageBreak/>
              <w:t>Pct.</w:t>
            </w:r>
          </w:p>
          <w:p w14:paraId="31A778D3" w14:textId="6FDD2F10" w:rsidR="00004C82" w:rsidRPr="00004C82" w:rsidRDefault="00004C82" w:rsidP="00BB1A04">
            <w:pPr>
              <w:rPr>
                <w:sz w:val="22"/>
                <w:szCs w:val="22"/>
                <w:vertAlign w:val="superscript"/>
                <w:lang w:val="ro-RO"/>
              </w:rPr>
            </w:pPr>
            <w:r>
              <w:rPr>
                <w:sz w:val="22"/>
                <w:szCs w:val="22"/>
                <w:lang w:val="ro-RO"/>
              </w:rPr>
              <w:t>433</w:t>
            </w:r>
            <w:r>
              <w:rPr>
                <w:sz w:val="22"/>
                <w:szCs w:val="22"/>
                <w:vertAlign w:val="superscript"/>
                <w:lang w:val="ro-RO"/>
              </w:rPr>
              <w:t>98</w:t>
            </w:r>
          </w:p>
        </w:tc>
        <w:tc>
          <w:tcPr>
            <w:tcW w:w="536" w:type="pct"/>
          </w:tcPr>
          <w:p w14:paraId="00D2F2E6" w14:textId="703F9C06" w:rsidR="00004C82" w:rsidRPr="007B4B28" w:rsidRDefault="00004C82" w:rsidP="00BB1A04">
            <w:pPr>
              <w:rPr>
                <w:sz w:val="22"/>
                <w:szCs w:val="22"/>
                <w:lang w:val="en-GB"/>
              </w:rPr>
            </w:pPr>
            <w:r w:rsidRPr="007B4B28">
              <w:rPr>
                <w:sz w:val="22"/>
                <w:szCs w:val="22"/>
                <w:lang w:val="en-GB"/>
              </w:rPr>
              <w:t>SA “Moldovagaz”</w:t>
            </w:r>
          </w:p>
        </w:tc>
        <w:tc>
          <w:tcPr>
            <w:tcW w:w="1528" w:type="pct"/>
          </w:tcPr>
          <w:p w14:paraId="4914C3C2" w14:textId="77777777" w:rsidR="00004C82" w:rsidRPr="00004C82" w:rsidRDefault="00004C82" w:rsidP="00335651">
            <w:pPr>
              <w:jc w:val="both"/>
              <w:rPr>
                <w:sz w:val="22"/>
                <w:szCs w:val="22"/>
                <w:lang w:val="ro-MD"/>
              </w:rPr>
            </w:pPr>
            <w:r w:rsidRPr="00004C82">
              <w:rPr>
                <w:sz w:val="22"/>
                <w:szCs w:val="22"/>
                <w:lang w:val="ro-MD"/>
              </w:rPr>
              <w:t>Ca urmare a procesului de consultare, OST elaborează o recomandare care să includă propunerea finală și o analiză:</w:t>
            </w:r>
          </w:p>
          <w:p w14:paraId="3CA6CE1B" w14:textId="77777777" w:rsidR="00004C82" w:rsidRPr="00004C82" w:rsidRDefault="00004C82" w:rsidP="008A3E25">
            <w:pPr>
              <w:jc w:val="both"/>
              <w:rPr>
                <w:sz w:val="22"/>
                <w:szCs w:val="22"/>
                <w:lang w:val="ro-MD"/>
              </w:rPr>
            </w:pPr>
            <w:r w:rsidRPr="00004C82">
              <w:rPr>
                <w:sz w:val="22"/>
                <w:szCs w:val="22"/>
                <w:lang w:val="ro-MD"/>
              </w:rPr>
              <w:t>1) a necesității obligației intrazilnice, având în vedere caracteristicile rețelei de transport și flexibilitatea de care dispune OST prin achiziționarea și vânzarea de PSTS sau prin utilizarea de servicii de echilibrare în conformitate cu capitolul III al prezentului Titlu;</w:t>
            </w:r>
          </w:p>
          <w:p w14:paraId="663DB979" w14:textId="77777777" w:rsidR="00004C82" w:rsidRPr="00004C82" w:rsidRDefault="00004C82" w:rsidP="008A3E25">
            <w:pPr>
              <w:jc w:val="both"/>
              <w:rPr>
                <w:sz w:val="22"/>
                <w:szCs w:val="22"/>
                <w:lang w:val="ro-MD"/>
              </w:rPr>
            </w:pPr>
            <w:r w:rsidRPr="00004C82">
              <w:rPr>
                <w:sz w:val="22"/>
                <w:szCs w:val="22"/>
                <w:lang w:val="ro-MD"/>
              </w:rPr>
              <w:t>2) a informațiilor disponibile pentru a permite utilizatorilor de sistem să își gestioneze în timp util pozițiile în cursul zilei;</w:t>
            </w:r>
          </w:p>
          <w:p w14:paraId="690144BA" w14:textId="77777777" w:rsidR="00004C82" w:rsidRPr="00004C82" w:rsidRDefault="00004C82" w:rsidP="008A3E25">
            <w:pPr>
              <w:jc w:val="both"/>
              <w:rPr>
                <w:sz w:val="22"/>
                <w:szCs w:val="22"/>
                <w:lang w:val="ro-MD"/>
              </w:rPr>
            </w:pPr>
            <w:r w:rsidRPr="00004C82">
              <w:rPr>
                <w:sz w:val="22"/>
                <w:szCs w:val="22"/>
                <w:lang w:val="ro-MD"/>
              </w:rPr>
              <w:t>3) a impactului financiar estimat asupra utilizatorilor de sistem;</w:t>
            </w:r>
          </w:p>
          <w:p w14:paraId="70B67161" w14:textId="77777777" w:rsidR="00004C82" w:rsidRPr="00004C82" w:rsidRDefault="00004C82" w:rsidP="008A3E25">
            <w:pPr>
              <w:jc w:val="both"/>
              <w:rPr>
                <w:sz w:val="22"/>
                <w:szCs w:val="22"/>
                <w:lang w:val="ro-MD"/>
              </w:rPr>
            </w:pPr>
            <w:r w:rsidRPr="00004C82">
              <w:rPr>
                <w:sz w:val="22"/>
                <w:szCs w:val="22"/>
                <w:lang w:val="ro-MD"/>
              </w:rPr>
              <w:t>4) a efectului asupra intrării pe piață a unor noi utilizatori de sistem, inclusiv orice impact negativ nejustificat asupra acesteia;</w:t>
            </w:r>
          </w:p>
          <w:p w14:paraId="37BD1688" w14:textId="4DBB07DF" w:rsidR="00004C82" w:rsidRPr="00004C82" w:rsidRDefault="00004C82" w:rsidP="008A3E25">
            <w:pPr>
              <w:jc w:val="both"/>
              <w:rPr>
                <w:sz w:val="22"/>
                <w:szCs w:val="22"/>
                <w:lang w:val="ro-MD"/>
              </w:rPr>
            </w:pPr>
            <w:r w:rsidRPr="00004C82">
              <w:rPr>
                <w:sz w:val="22"/>
                <w:szCs w:val="22"/>
                <w:lang w:val="ro-MD"/>
              </w:rPr>
              <w:t xml:space="preserve">5) a efectului asupra </w:t>
            </w:r>
            <w:r w:rsidRPr="00E70A24">
              <w:rPr>
                <w:b/>
                <w:sz w:val="22"/>
                <w:szCs w:val="22"/>
                <w:lang w:val="ro-MD"/>
              </w:rPr>
              <w:t>comerțului</w:t>
            </w:r>
            <w:r w:rsidRPr="00004C82">
              <w:rPr>
                <w:sz w:val="22"/>
                <w:szCs w:val="22"/>
                <w:lang w:val="ro-MD"/>
              </w:rPr>
              <w:t xml:space="preserve"> transfrontalier, inclusiv impactul potențial asupra echilibrării în</w:t>
            </w:r>
            <w:r w:rsidR="00E70A24">
              <w:rPr>
                <w:sz w:val="22"/>
                <w:szCs w:val="22"/>
                <w:lang w:val="ro-MD"/>
              </w:rPr>
              <w:t xml:space="preserve"> zone de echilibrare adiacente.</w:t>
            </w:r>
          </w:p>
        </w:tc>
        <w:tc>
          <w:tcPr>
            <w:tcW w:w="1537" w:type="pct"/>
          </w:tcPr>
          <w:p w14:paraId="7D5740DC" w14:textId="77777777" w:rsidR="00124283" w:rsidRDefault="00124283" w:rsidP="008A3E25">
            <w:pPr>
              <w:tabs>
                <w:tab w:val="left" w:pos="0"/>
                <w:tab w:val="left" w:pos="851"/>
                <w:tab w:val="left" w:pos="1134"/>
              </w:tabs>
              <w:jc w:val="both"/>
              <w:rPr>
                <w:sz w:val="22"/>
                <w:szCs w:val="22"/>
                <w:lang w:val="en-US"/>
              </w:rPr>
            </w:pPr>
          </w:p>
          <w:p w14:paraId="36C5D638" w14:textId="77777777" w:rsidR="00124283" w:rsidRDefault="00124283" w:rsidP="008A3E25">
            <w:pPr>
              <w:tabs>
                <w:tab w:val="left" w:pos="0"/>
                <w:tab w:val="left" w:pos="851"/>
                <w:tab w:val="left" w:pos="1134"/>
              </w:tabs>
              <w:jc w:val="both"/>
              <w:rPr>
                <w:sz w:val="22"/>
                <w:szCs w:val="22"/>
                <w:lang w:val="en-US"/>
              </w:rPr>
            </w:pPr>
          </w:p>
          <w:p w14:paraId="44F4693E" w14:textId="77777777" w:rsidR="00124283" w:rsidRDefault="00124283" w:rsidP="008A3E25">
            <w:pPr>
              <w:tabs>
                <w:tab w:val="left" w:pos="0"/>
                <w:tab w:val="left" w:pos="851"/>
                <w:tab w:val="left" w:pos="1134"/>
              </w:tabs>
              <w:jc w:val="both"/>
              <w:rPr>
                <w:sz w:val="22"/>
                <w:szCs w:val="22"/>
                <w:lang w:val="en-US"/>
              </w:rPr>
            </w:pPr>
          </w:p>
          <w:p w14:paraId="16C31737" w14:textId="77777777" w:rsidR="00124283" w:rsidRDefault="00124283" w:rsidP="008A3E25">
            <w:pPr>
              <w:tabs>
                <w:tab w:val="left" w:pos="0"/>
                <w:tab w:val="left" w:pos="851"/>
                <w:tab w:val="left" w:pos="1134"/>
              </w:tabs>
              <w:jc w:val="both"/>
              <w:rPr>
                <w:sz w:val="22"/>
                <w:szCs w:val="22"/>
                <w:lang w:val="en-US"/>
              </w:rPr>
            </w:pPr>
          </w:p>
          <w:p w14:paraId="73BD7A62" w14:textId="77777777" w:rsidR="00124283" w:rsidRDefault="00124283" w:rsidP="008A3E25">
            <w:pPr>
              <w:tabs>
                <w:tab w:val="left" w:pos="0"/>
                <w:tab w:val="left" w:pos="851"/>
                <w:tab w:val="left" w:pos="1134"/>
              </w:tabs>
              <w:jc w:val="both"/>
              <w:rPr>
                <w:sz w:val="22"/>
                <w:szCs w:val="22"/>
                <w:lang w:val="en-US"/>
              </w:rPr>
            </w:pPr>
          </w:p>
          <w:p w14:paraId="0B3EA1FF" w14:textId="77777777" w:rsidR="00124283" w:rsidRDefault="00124283" w:rsidP="008A3E25">
            <w:pPr>
              <w:tabs>
                <w:tab w:val="left" w:pos="0"/>
                <w:tab w:val="left" w:pos="851"/>
                <w:tab w:val="left" w:pos="1134"/>
              </w:tabs>
              <w:jc w:val="both"/>
              <w:rPr>
                <w:sz w:val="22"/>
                <w:szCs w:val="22"/>
                <w:lang w:val="en-US"/>
              </w:rPr>
            </w:pPr>
          </w:p>
          <w:p w14:paraId="64928244" w14:textId="77777777" w:rsidR="00124283" w:rsidRDefault="00124283" w:rsidP="008A3E25">
            <w:pPr>
              <w:tabs>
                <w:tab w:val="left" w:pos="0"/>
                <w:tab w:val="left" w:pos="851"/>
                <w:tab w:val="left" w:pos="1134"/>
              </w:tabs>
              <w:jc w:val="both"/>
              <w:rPr>
                <w:sz w:val="22"/>
                <w:szCs w:val="22"/>
                <w:lang w:val="en-US"/>
              </w:rPr>
            </w:pPr>
          </w:p>
          <w:p w14:paraId="681FB709" w14:textId="77777777" w:rsidR="00124283" w:rsidRDefault="00124283" w:rsidP="008A3E25">
            <w:pPr>
              <w:tabs>
                <w:tab w:val="left" w:pos="0"/>
                <w:tab w:val="left" w:pos="851"/>
                <w:tab w:val="left" w:pos="1134"/>
              </w:tabs>
              <w:jc w:val="both"/>
              <w:rPr>
                <w:sz w:val="22"/>
                <w:szCs w:val="22"/>
                <w:lang w:val="en-US"/>
              </w:rPr>
            </w:pPr>
          </w:p>
          <w:p w14:paraId="398FEE0B" w14:textId="77777777" w:rsidR="00124283" w:rsidRDefault="00124283" w:rsidP="008A3E25">
            <w:pPr>
              <w:tabs>
                <w:tab w:val="left" w:pos="0"/>
                <w:tab w:val="left" w:pos="851"/>
                <w:tab w:val="left" w:pos="1134"/>
              </w:tabs>
              <w:jc w:val="both"/>
              <w:rPr>
                <w:sz w:val="22"/>
                <w:szCs w:val="22"/>
                <w:lang w:val="en-US"/>
              </w:rPr>
            </w:pPr>
          </w:p>
          <w:p w14:paraId="65256EA7" w14:textId="7F033833" w:rsidR="00004C82" w:rsidRPr="00356C29" w:rsidRDefault="00004C82" w:rsidP="008A3E25">
            <w:pPr>
              <w:tabs>
                <w:tab w:val="left" w:pos="0"/>
                <w:tab w:val="left" w:pos="851"/>
                <w:tab w:val="left" w:pos="1134"/>
              </w:tabs>
              <w:jc w:val="both"/>
              <w:rPr>
                <w:i/>
                <w:sz w:val="22"/>
                <w:szCs w:val="22"/>
                <w:lang w:val="en-US"/>
              </w:rPr>
            </w:pPr>
            <w:r w:rsidRPr="00356C29">
              <w:rPr>
                <w:sz w:val="22"/>
                <w:szCs w:val="22"/>
                <w:lang w:val="en-US"/>
              </w:rPr>
              <w:t>subpct.  2) cuvântul „</w:t>
            </w:r>
            <w:r w:rsidRPr="00356C29">
              <w:rPr>
                <w:i/>
                <w:sz w:val="22"/>
                <w:szCs w:val="22"/>
                <w:lang w:val="en-US"/>
              </w:rPr>
              <w:t>pozițiile</w:t>
            </w:r>
            <w:r w:rsidRPr="00356C29">
              <w:rPr>
                <w:sz w:val="22"/>
                <w:szCs w:val="22"/>
                <w:lang w:val="en-US"/>
              </w:rPr>
              <w:t>” se va substitui cu cuvântul „</w:t>
            </w:r>
            <w:r w:rsidRPr="00356C29">
              <w:rPr>
                <w:i/>
                <w:sz w:val="22"/>
                <w:szCs w:val="22"/>
                <w:lang w:val="en-US"/>
              </w:rPr>
              <w:t>activitățile</w:t>
            </w:r>
            <w:r w:rsidRPr="00356C29">
              <w:rPr>
                <w:sz w:val="22"/>
                <w:szCs w:val="22"/>
                <w:lang w:val="en-US"/>
              </w:rPr>
              <w:t>”,</w:t>
            </w:r>
          </w:p>
          <w:p w14:paraId="51F0513E" w14:textId="77777777" w:rsidR="00124283" w:rsidRDefault="00124283" w:rsidP="008A3E25">
            <w:pPr>
              <w:tabs>
                <w:tab w:val="left" w:pos="0"/>
                <w:tab w:val="left" w:pos="851"/>
                <w:tab w:val="left" w:pos="1134"/>
              </w:tabs>
              <w:jc w:val="both"/>
              <w:rPr>
                <w:sz w:val="22"/>
                <w:szCs w:val="22"/>
                <w:lang w:val="en-GB"/>
              </w:rPr>
            </w:pPr>
          </w:p>
          <w:p w14:paraId="4062D0AB" w14:textId="77777777" w:rsidR="00124283" w:rsidRDefault="00124283" w:rsidP="008A3E25">
            <w:pPr>
              <w:tabs>
                <w:tab w:val="left" w:pos="0"/>
                <w:tab w:val="left" w:pos="851"/>
                <w:tab w:val="left" w:pos="1134"/>
              </w:tabs>
              <w:jc w:val="both"/>
              <w:rPr>
                <w:sz w:val="22"/>
                <w:szCs w:val="22"/>
                <w:lang w:val="en-GB"/>
              </w:rPr>
            </w:pPr>
          </w:p>
          <w:p w14:paraId="2BF7D908" w14:textId="77777777" w:rsidR="00124283" w:rsidRDefault="00124283" w:rsidP="008A3E25">
            <w:pPr>
              <w:tabs>
                <w:tab w:val="left" w:pos="0"/>
                <w:tab w:val="left" w:pos="851"/>
                <w:tab w:val="left" w:pos="1134"/>
              </w:tabs>
              <w:jc w:val="both"/>
              <w:rPr>
                <w:sz w:val="22"/>
                <w:szCs w:val="22"/>
                <w:lang w:val="en-GB"/>
              </w:rPr>
            </w:pPr>
          </w:p>
          <w:p w14:paraId="41BC643E" w14:textId="77777777" w:rsidR="00124283" w:rsidRDefault="00124283" w:rsidP="008A3E25">
            <w:pPr>
              <w:tabs>
                <w:tab w:val="left" w:pos="0"/>
                <w:tab w:val="left" w:pos="851"/>
                <w:tab w:val="left" w:pos="1134"/>
              </w:tabs>
              <w:jc w:val="both"/>
              <w:rPr>
                <w:sz w:val="22"/>
                <w:szCs w:val="22"/>
                <w:lang w:val="en-GB"/>
              </w:rPr>
            </w:pPr>
          </w:p>
          <w:p w14:paraId="249DAF22" w14:textId="77777777" w:rsidR="00124283" w:rsidRDefault="00124283" w:rsidP="008A3E25">
            <w:pPr>
              <w:tabs>
                <w:tab w:val="left" w:pos="0"/>
                <w:tab w:val="left" w:pos="851"/>
                <w:tab w:val="left" w:pos="1134"/>
              </w:tabs>
              <w:jc w:val="both"/>
              <w:rPr>
                <w:sz w:val="22"/>
                <w:szCs w:val="22"/>
                <w:lang w:val="en-GB"/>
              </w:rPr>
            </w:pPr>
          </w:p>
          <w:p w14:paraId="7035FDA5" w14:textId="77777777" w:rsidR="00124283" w:rsidRDefault="00124283" w:rsidP="008A3E25">
            <w:pPr>
              <w:tabs>
                <w:tab w:val="left" w:pos="0"/>
                <w:tab w:val="left" w:pos="851"/>
                <w:tab w:val="left" w:pos="1134"/>
              </w:tabs>
              <w:jc w:val="both"/>
              <w:rPr>
                <w:sz w:val="22"/>
                <w:szCs w:val="22"/>
                <w:lang w:val="en-GB"/>
              </w:rPr>
            </w:pPr>
          </w:p>
          <w:p w14:paraId="6812DC59" w14:textId="25560622" w:rsidR="00004C82" w:rsidRPr="00356C29" w:rsidRDefault="00004C82" w:rsidP="008A3E25">
            <w:pPr>
              <w:tabs>
                <w:tab w:val="left" w:pos="0"/>
                <w:tab w:val="left" w:pos="851"/>
                <w:tab w:val="left" w:pos="1134"/>
              </w:tabs>
              <w:jc w:val="both"/>
              <w:rPr>
                <w:i/>
                <w:sz w:val="22"/>
                <w:szCs w:val="22"/>
                <w:lang w:val="en-US"/>
              </w:rPr>
            </w:pPr>
            <w:r w:rsidRPr="007B4B28">
              <w:rPr>
                <w:sz w:val="22"/>
                <w:szCs w:val="22"/>
                <w:lang w:val="en-GB"/>
              </w:rPr>
              <w:t>s</w:t>
            </w:r>
            <w:r w:rsidRPr="00356C29">
              <w:rPr>
                <w:sz w:val="22"/>
                <w:szCs w:val="22"/>
                <w:lang w:val="en-US"/>
              </w:rPr>
              <w:t>ubpct.  5) cuvântul „</w:t>
            </w:r>
            <w:r w:rsidRPr="00356C29">
              <w:rPr>
                <w:i/>
                <w:sz w:val="22"/>
                <w:szCs w:val="22"/>
                <w:lang w:val="en-US"/>
              </w:rPr>
              <w:t>comerțului</w:t>
            </w:r>
            <w:r w:rsidRPr="00356C29">
              <w:rPr>
                <w:sz w:val="22"/>
                <w:szCs w:val="22"/>
                <w:lang w:val="en-US"/>
              </w:rPr>
              <w:t>” se va substitui cu cuvântul „</w:t>
            </w:r>
            <w:r w:rsidRPr="00356C29">
              <w:rPr>
                <w:i/>
                <w:sz w:val="22"/>
                <w:szCs w:val="22"/>
                <w:lang w:val="en-US"/>
              </w:rPr>
              <w:t>tranzacției</w:t>
            </w:r>
            <w:r w:rsidRPr="00356C29">
              <w:rPr>
                <w:sz w:val="22"/>
                <w:szCs w:val="22"/>
                <w:lang w:val="en-US"/>
              </w:rPr>
              <w:t>”;</w:t>
            </w:r>
          </w:p>
          <w:p w14:paraId="6C1622FE" w14:textId="77777777" w:rsidR="00004C82" w:rsidRPr="007B4B28" w:rsidRDefault="00004C82" w:rsidP="008A3E25">
            <w:pPr>
              <w:tabs>
                <w:tab w:val="left" w:pos="0"/>
                <w:tab w:val="left" w:pos="851"/>
                <w:tab w:val="left" w:pos="1134"/>
              </w:tabs>
              <w:jc w:val="both"/>
              <w:rPr>
                <w:sz w:val="22"/>
                <w:szCs w:val="22"/>
                <w:lang w:val="ro-RO"/>
              </w:rPr>
            </w:pPr>
          </w:p>
        </w:tc>
        <w:tc>
          <w:tcPr>
            <w:cnfStyle w:val="000100000000" w:firstRow="0" w:lastRow="0" w:firstColumn="0" w:lastColumn="1" w:oddVBand="0" w:evenVBand="0" w:oddHBand="0" w:evenHBand="0" w:firstRowFirstColumn="0" w:firstRowLastColumn="0" w:lastRowFirstColumn="0" w:lastRowLastColumn="0"/>
            <w:tcW w:w="1060" w:type="pct"/>
          </w:tcPr>
          <w:p w14:paraId="6C30B990" w14:textId="77777777" w:rsidR="00124283" w:rsidRDefault="00124283" w:rsidP="008A3E25">
            <w:pPr>
              <w:jc w:val="both"/>
              <w:rPr>
                <w:sz w:val="22"/>
                <w:szCs w:val="22"/>
                <w:lang w:val="ro-MD"/>
              </w:rPr>
            </w:pPr>
          </w:p>
          <w:p w14:paraId="37B4F223" w14:textId="77777777" w:rsidR="00124283" w:rsidRDefault="00124283" w:rsidP="008A3E25">
            <w:pPr>
              <w:jc w:val="both"/>
              <w:rPr>
                <w:sz w:val="22"/>
                <w:szCs w:val="22"/>
                <w:lang w:val="ro-MD"/>
              </w:rPr>
            </w:pPr>
          </w:p>
          <w:p w14:paraId="75C6C64A" w14:textId="77777777" w:rsidR="00124283" w:rsidRDefault="00124283" w:rsidP="008A3E25">
            <w:pPr>
              <w:jc w:val="both"/>
              <w:rPr>
                <w:sz w:val="22"/>
                <w:szCs w:val="22"/>
                <w:lang w:val="ro-MD"/>
              </w:rPr>
            </w:pPr>
          </w:p>
          <w:p w14:paraId="19C684CA" w14:textId="77777777" w:rsidR="00124283" w:rsidRDefault="00124283" w:rsidP="008A3E25">
            <w:pPr>
              <w:jc w:val="both"/>
              <w:rPr>
                <w:sz w:val="22"/>
                <w:szCs w:val="22"/>
                <w:lang w:val="ro-MD"/>
              </w:rPr>
            </w:pPr>
          </w:p>
          <w:p w14:paraId="319D76FD" w14:textId="77777777" w:rsidR="00124283" w:rsidRDefault="00124283" w:rsidP="008A3E25">
            <w:pPr>
              <w:jc w:val="both"/>
              <w:rPr>
                <w:sz w:val="22"/>
                <w:szCs w:val="22"/>
                <w:lang w:val="ro-MD"/>
              </w:rPr>
            </w:pPr>
          </w:p>
          <w:p w14:paraId="35CC87F0" w14:textId="77777777" w:rsidR="00124283" w:rsidRDefault="00124283" w:rsidP="008A3E25">
            <w:pPr>
              <w:jc w:val="both"/>
              <w:rPr>
                <w:sz w:val="22"/>
                <w:szCs w:val="22"/>
                <w:lang w:val="ro-MD"/>
              </w:rPr>
            </w:pPr>
          </w:p>
          <w:p w14:paraId="2C1D5687" w14:textId="77777777" w:rsidR="00124283" w:rsidRDefault="00124283" w:rsidP="008A3E25">
            <w:pPr>
              <w:jc w:val="both"/>
              <w:rPr>
                <w:sz w:val="22"/>
                <w:szCs w:val="22"/>
                <w:lang w:val="ro-MD"/>
              </w:rPr>
            </w:pPr>
          </w:p>
          <w:p w14:paraId="56AE23B4" w14:textId="77777777" w:rsidR="00124283" w:rsidRDefault="00124283" w:rsidP="008A3E25">
            <w:pPr>
              <w:jc w:val="both"/>
              <w:rPr>
                <w:sz w:val="22"/>
                <w:szCs w:val="22"/>
                <w:lang w:val="ro-MD"/>
              </w:rPr>
            </w:pPr>
          </w:p>
          <w:p w14:paraId="7D23FEDE" w14:textId="77777777" w:rsidR="00124283" w:rsidRDefault="00124283" w:rsidP="008A3E25">
            <w:pPr>
              <w:jc w:val="both"/>
              <w:rPr>
                <w:sz w:val="22"/>
                <w:szCs w:val="22"/>
                <w:lang w:val="ro-MD"/>
              </w:rPr>
            </w:pPr>
          </w:p>
          <w:p w14:paraId="1D80C188" w14:textId="630976EB" w:rsidR="00004C82" w:rsidRDefault="00004C82" w:rsidP="008A3E25">
            <w:pPr>
              <w:jc w:val="both"/>
              <w:rPr>
                <w:sz w:val="22"/>
                <w:szCs w:val="22"/>
                <w:lang w:val="ro-MD"/>
              </w:rPr>
            </w:pPr>
            <w:r>
              <w:rPr>
                <w:sz w:val="22"/>
                <w:szCs w:val="22"/>
                <w:lang w:val="ro-MD"/>
              </w:rPr>
              <w:t>Se acceptă</w:t>
            </w:r>
          </w:p>
          <w:p w14:paraId="29FC2545" w14:textId="77777777" w:rsidR="00004C82" w:rsidRDefault="00004C82" w:rsidP="008A3E25">
            <w:pPr>
              <w:jc w:val="both"/>
              <w:rPr>
                <w:sz w:val="22"/>
                <w:szCs w:val="22"/>
                <w:lang w:val="ro-MD"/>
              </w:rPr>
            </w:pPr>
          </w:p>
          <w:p w14:paraId="571EACE5" w14:textId="77777777" w:rsidR="00124283" w:rsidRDefault="00124283" w:rsidP="008A3E25">
            <w:pPr>
              <w:jc w:val="both"/>
              <w:rPr>
                <w:sz w:val="22"/>
                <w:szCs w:val="22"/>
                <w:lang w:val="ro-MD"/>
              </w:rPr>
            </w:pPr>
          </w:p>
          <w:p w14:paraId="3A2DA2B4" w14:textId="77777777" w:rsidR="00124283" w:rsidRDefault="00124283" w:rsidP="008A3E25">
            <w:pPr>
              <w:jc w:val="both"/>
              <w:rPr>
                <w:sz w:val="22"/>
                <w:szCs w:val="22"/>
                <w:lang w:val="ro-MD"/>
              </w:rPr>
            </w:pPr>
          </w:p>
          <w:p w14:paraId="3315DD83" w14:textId="77777777" w:rsidR="00124283" w:rsidRDefault="00124283" w:rsidP="008A3E25">
            <w:pPr>
              <w:jc w:val="both"/>
              <w:rPr>
                <w:sz w:val="22"/>
                <w:szCs w:val="22"/>
                <w:lang w:val="ro-MD"/>
              </w:rPr>
            </w:pPr>
          </w:p>
          <w:p w14:paraId="1A91C787" w14:textId="77777777" w:rsidR="00124283" w:rsidRDefault="00124283" w:rsidP="008A3E25">
            <w:pPr>
              <w:jc w:val="both"/>
              <w:rPr>
                <w:sz w:val="22"/>
                <w:szCs w:val="22"/>
                <w:lang w:val="ro-MD"/>
              </w:rPr>
            </w:pPr>
          </w:p>
          <w:p w14:paraId="5A9C731E" w14:textId="77777777" w:rsidR="00124283" w:rsidRDefault="00124283" w:rsidP="008A3E25">
            <w:pPr>
              <w:jc w:val="both"/>
              <w:rPr>
                <w:sz w:val="22"/>
                <w:szCs w:val="22"/>
                <w:lang w:val="ro-MD"/>
              </w:rPr>
            </w:pPr>
          </w:p>
          <w:p w14:paraId="63139974" w14:textId="77777777" w:rsidR="00124283" w:rsidRDefault="00124283" w:rsidP="008A3E25">
            <w:pPr>
              <w:jc w:val="both"/>
              <w:rPr>
                <w:sz w:val="22"/>
                <w:szCs w:val="22"/>
                <w:lang w:val="ro-MD"/>
              </w:rPr>
            </w:pPr>
          </w:p>
          <w:p w14:paraId="2849496F" w14:textId="11F39B85" w:rsidR="00004C82" w:rsidRDefault="00E70A24" w:rsidP="00E70A24">
            <w:pPr>
              <w:jc w:val="both"/>
              <w:rPr>
                <w:sz w:val="22"/>
                <w:szCs w:val="22"/>
                <w:lang w:val="ro-MD"/>
              </w:rPr>
            </w:pPr>
            <w:r>
              <w:rPr>
                <w:sz w:val="22"/>
                <w:szCs w:val="22"/>
                <w:lang w:val="ro-MD"/>
              </w:rPr>
              <w:t>Nu s</w:t>
            </w:r>
            <w:r w:rsidR="00004C82">
              <w:rPr>
                <w:sz w:val="22"/>
                <w:szCs w:val="22"/>
                <w:lang w:val="ro-MD"/>
              </w:rPr>
              <w:t>e acceptă</w:t>
            </w:r>
            <w:r>
              <w:rPr>
                <w:sz w:val="22"/>
                <w:szCs w:val="22"/>
                <w:lang w:val="ro-MD"/>
              </w:rPr>
              <w:t xml:space="preserve">. </w:t>
            </w:r>
            <w:r w:rsidRPr="00E70A24">
              <w:rPr>
                <w:b w:val="0"/>
                <w:sz w:val="22"/>
                <w:szCs w:val="22"/>
                <w:lang w:val="ro-MD"/>
              </w:rPr>
              <w:t xml:space="preserve">A se vedea argumentarea de la pct. </w:t>
            </w:r>
            <w:r w:rsidRPr="00E70A24">
              <w:rPr>
                <w:b w:val="0"/>
                <w:lang w:val="ro-RO"/>
              </w:rPr>
              <w:t>433</w:t>
            </w:r>
            <w:r w:rsidRPr="00E70A24">
              <w:rPr>
                <w:b w:val="0"/>
                <w:vertAlign w:val="superscript"/>
                <w:lang w:val="ro-RO"/>
              </w:rPr>
              <w:t>88</w:t>
            </w:r>
          </w:p>
        </w:tc>
      </w:tr>
      <w:tr w:rsidR="00004C82" w:rsidRPr="007B4B28" w14:paraId="12AC16B5" w14:textId="77777777" w:rsidTr="001648D4">
        <w:trPr>
          <w:trHeight w:val="70"/>
        </w:trPr>
        <w:tc>
          <w:tcPr>
            <w:tcW w:w="339" w:type="pct"/>
          </w:tcPr>
          <w:p w14:paraId="5F0CA3DA" w14:textId="1BB90B75" w:rsidR="00004C82" w:rsidRPr="007B4B28" w:rsidRDefault="00004C82" w:rsidP="00BB1A04">
            <w:pPr>
              <w:rPr>
                <w:sz w:val="22"/>
                <w:szCs w:val="22"/>
                <w:lang w:val="ro-RO"/>
              </w:rPr>
            </w:pPr>
            <w:r w:rsidRPr="007B4B28">
              <w:rPr>
                <w:sz w:val="22"/>
                <w:szCs w:val="22"/>
                <w:lang w:val="ro-RO"/>
              </w:rPr>
              <w:t>Titlul Secțiunii 5 a Capitolului VI</w:t>
            </w:r>
          </w:p>
        </w:tc>
        <w:tc>
          <w:tcPr>
            <w:tcW w:w="536" w:type="pct"/>
          </w:tcPr>
          <w:p w14:paraId="02F6C8B4" w14:textId="0B5331CE" w:rsidR="00004C82" w:rsidRPr="007B4B28" w:rsidRDefault="00004C82" w:rsidP="00BB1A04">
            <w:pPr>
              <w:rPr>
                <w:sz w:val="22"/>
                <w:szCs w:val="22"/>
                <w:lang w:val="en-GB"/>
              </w:rPr>
            </w:pPr>
            <w:r w:rsidRPr="007B4B28">
              <w:rPr>
                <w:sz w:val="22"/>
                <w:szCs w:val="22"/>
                <w:lang w:val="en-GB"/>
              </w:rPr>
              <w:t>SA “Moldovagaz”</w:t>
            </w:r>
          </w:p>
        </w:tc>
        <w:tc>
          <w:tcPr>
            <w:tcW w:w="1528" w:type="pct"/>
          </w:tcPr>
          <w:p w14:paraId="302DA4DC" w14:textId="77777777" w:rsidR="00004C82" w:rsidRPr="007B4B28" w:rsidRDefault="00004C82" w:rsidP="00BB1A04">
            <w:pPr>
              <w:jc w:val="center"/>
              <w:outlineLvl w:val="0"/>
              <w:rPr>
                <w:b/>
                <w:bCs/>
                <w:sz w:val="22"/>
                <w:szCs w:val="22"/>
                <w:lang w:val="ro-MD"/>
              </w:rPr>
            </w:pPr>
            <w:r w:rsidRPr="007B4B28">
              <w:rPr>
                <w:b/>
                <w:bCs/>
                <w:sz w:val="22"/>
                <w:szCs w:val="22"/>
                <w:lang w:val="ro-MD"/>
              </w:rPr>
              <w:t>CAPITOLUL VI</w:t>
            </w:r>
          </w:p>
          <w:p w14:paraId="621A4FE1" w14:textId="77777777" w:rsidR="00004C82" w:rsidRPr="007B4B28" w:rsidRDefault="00004C82" w:rsidP="00335651">
            <w:pPr>
              <w:jc w:val="center"/>
              <w:rPr>
                <w:b/>
                <w:bCs/>
                <w:sz w:val="22"/>
                <w:szCs w:val="22"/>
                <w:lang w:val="ro-MD"/>
              </w:rPr>
            </w:pPr>
            <w:r w:rsidRPr="007B4B28">
              <w:rPr>
                <w:b/>
                <w:bCs/>
                <w:sz w:val="22"/>
                <w:szCs w:val="22"/>
                <w:lang w:val="ro-MD"/>
              </w:rPr>
              <w:t>OBLIGAȚII INTRAZILNICE</w:t>
            </w:r>
          </w:p>
          <w:p w14:paraId="507E4116" w14:textId="77777777" w:rsidR="00004C82" w:rsidRPr="007B4B28" w:rsidRDefault="00004C82" w:rsidP="008A3E25">
            <w:pPr>
              <w:pStyle w:val="NormalWeb"/>
              <w:tabs>
                <w:tab w:val="left" w:pos="851"/>
              </w:tabs>
              <w:ind w:firstLine="0"/>
              <w:rPr>
                <w:bCs/>
                <w:color w:val="000000"/>
                <w:sz w:val="22"/>
                <w:szCs w:val="22"/>
                <w:lang w:val="ro-MD"/>
              </w:rPr>
            </w:pPr>
          </w:p>
        </w:tc>
        <w:tc>
          <w:tcPr>
            <w:tcW w:w="1537" w:type="pct"/>
          </w:tcPr>
          <w:p w14:paraId="1693BC78" w14:textId="212C75C6" w:rsidR="00004C82" w:rsidRPr="007B4B28" w:rsidRDefault="00004C82" w:rsidP="008A3E25">
            <w:pPr>
              <w:pStyle w:val="NoSpacing"/>
              <w:tabs>
                <w:tab w:val="left" w:pos="0"/>
                <w:tab w:val="left" w:pos="851"/>
              </w:tabs>
              <w:jc w:val="both"/>
              <w:rPr>
                <w:rFonts w:ascii="Times New Roman" w:hAnsi="Times New Roman" w:cs="Times New Roman"/>
                <w:lang w:val="ro-RO" w:eastAsia="ru-RU"/>
              </w:rPr>
            </w:pPr>
            <w:r w:rsidRPr="007B4B28">
              <w:rPr>
                <w:rFonts w:ascii="Times New Roman" w:hAnsi="Times New Roman" w:cs="Times New Roman"/>
                <w:lang w:val="ro-RO"/>
              </w:rPr>
              <w:t>De modificat și de expus în următoarea redacție: „</w:t>
            </w:r>
            <w:r w:rsidRPr="007B4B28">
              <w:rPr>
                <w:rFonts w:ascii="Times New Roman" w:hAnsi="Times New Roman" w:cs="Times New Roman"/>
                <w:bCs/>
                <w:i/>
                <w:lang w:val="ro-RO"/>
              </w:rPr>
              <w:t>Obligații intrazilnice existente</w:t>
            </w:r>
            <w:r w:rsidRPr="007B4B28">
              <w:rPr>
                <w:rFonts w:ascii="Times New Roman" w:hAnsi="Times New Roman" w:cs="Times New Roman"/>
                <w:bCs/>
                <w:lang w:val="ro-RO"/>
              </w:rPr>
              <w:t>”</w:t>
            </w:r>
            <w:r w:rsidRPr="007B4B28">
              <w:rPr>
                <w:rFonts w:ascii="Times New Roman" w:hAnsi="Times New Roman" w:cs="Times New Roman"/>
                <w:bCs/>
                <w:i/>
                <w:lang w:val="ro-RO"/>
              </w:rPr>
              <w:t>,</w:t>
            </w:r>
            <w:r w:rsidRPr="007B4B28">
              <w:rPr>
                <w:rFonts w:ascii="Times New Roman" w:hAnsi="Times New Roman" w:cs="Times New Roman"/>
                <w:lang w:val="ro-RO" w:eastAsia="ru-RU"/>
              </w:rPr>
              <w:t xml:space="preserve"> în conformitate cu Capitolul IX din Reguli și Capitolul VI al prezentului proiect;</w:t>
            </w:r>
          </w:p>
        </w:tc>
        <w:tc>
          <w:tcPr>
            <w:cnfStyle w:val="000100000000" w:firstRow="0" w:lastRow="0" w:firstColumn="0" w:lastColumn="1" w:oddVBand="0" w:evenVBand="0" w:oddHBand="0" w:evenHBand="0" w:firstRowFirstColumn="0" w:firstRowLastColumn="0" w:lastRowFirstColumn="0" w:lastRowLastColumn="0"/>
            <w:tcW w:w="1060" w:type="pct"/>
          </w:tcPr>
          <w:p w14:paraId="3CB1F90C" w14:textId="1B0CBE0F" w:rsidR="00193A57" w:rsidRPr="0004276F" w:rsidRDefault="00193A57" w:rsidP="008A3E25">
            <w:pPr>
              <w:jc w:val="both"/>
              <w:rPr>
                <w:sz w:val="22"/>
                <w:szCs w:val="22"/>
                <w:highlight w:val="yellow"/>
                <w:lang w:val="ro-MD"/>
              </w:rPr>
            </w:pPr>
            <w:r>
              <w:rPr>
                <w:sz w:val="22"/>
                <w:szCs w:val="22"/>
                <w:lang w:val="ro-MD"/>
              </w:rPr>
              <w:t>Se acceptă</w:t>
            </w:r>
          </w:p>
        </w:tc>
      </w:tr>
      <w:tr w:rsidR="00004C82" w:rsidRPr="007B4B28" w14:paraId="32B6EBE6" w14:textId="77777777" w:rsidTr="001648D4">
        <w:trPr>
          <w:trHeight w:val="70"/>
        </w:trPr>
        <w:tc>
          <w:tcPr>
            <w:tcW w:w="339" w:type="pct"/>
          </w:tcPr>
          <w:p w14:paraId="7D4179E3" w14:textId="1F207353" w:rsidR="00004C82" w:rsidRPr="007B4B28" w:rsidRDefault="00004C82" w:rsidP="00BB1A04">
            <w:pPr>
              <w:rPr>
                <w:sz w:val="22"/>
                <w:szCs w:val="22"/>
                <w:lang w:val="ro-RO"/>
              </w:rPr>
            </w:pPr>
            <w:r w:rsidRPr="007B4B28">
              <w:rPr>
                <w:sz w:val="22"/>
                <w:szCs w:val="22"/>
                <w:lang w:val="ro-RO"/>
              </w:rPr>
              <w:t>Pct. 433</w:t>
            </w:r>
            <w:r w:rsidRPr="007B4B28">
              <w:rPr>
                <w:sz w:val="22"/>
                <w:szCs w:val="22"/>
                <w:vertAlign w:val="superscript"/>
                <w:lang w:val="ro-RO"/>
              </w:rPr>
              <w:t>108</w:t>
            </w:r>
            <w:r w:rsidRPr="007B4B28">
              <w:rPr>
                <w:sz w:val="22"/>
                <w:szCs w:val="22"/>
                <w:lang w:val="ro-RO"/>
              </w:rPr>
              <w:t>, pct. 433</w:t>
            </w:r>
            <w:r w:rsidRPr="007B4B28">
              <w:rPr>
                <w:sz w:val="22"/>
                <w:szCs w:val="22"/>
                <w:vertAlign w:val="superscript"/>
                <w:lang w:val="ro-RO"/>
              </w:rPr>
              <w:t>110</w:t>
            </w:r>
            <w:r w:rsidRPr="007B4B28">
              <w:rPr>
                <w:sz w:val="22"/>
                <w:szCs w:val="22"/>
                <w:lang w:val="ro-RO"/>
              </w:rPr>
              <w:t xml:space="preserve"> – 433</w:t>
            </w:r>
            <w:r w:rsidRPr="007B4B28">
              <w:rPr>
                <w:sz w:val="22"/>
                <w:szCs w:val="22"/>
                <w:vertAlign w:val="superscript"/>
                <w:lang w:val="ro-RO"/>
              </w:rPr>
              <w:t>112</w:t>
            </w:r>
          </w:p>
        </w:tc>
        <w:tc>
          <w:tcPr>
            <w:tcW w:w="536" w:type="pct"/>
          </w:tcPr>
          <w:p w14:paraId="53EDF1A6" w14:textId="4865E8A3" w:rsidR="00004C82" w:rsidRPr="007B4B28" w:rsidRDefault="00004C82" w:rsidP="00BB1A04">
            <w:pPr>
              <w:rPr>
                <w:sz w:val="22"/>
                <w:szCs w:val="22"/>
                <w:lang w:val="en-GB"/>
              </w:rPr>
            </w:pPr>
            <w:r w:rsidRPr="007B4B28">
              <w:rPr>
                <w:sz w:val="22"/>
                <w:szCs w:val="22"/>
                <w:lang w:val="en-GB"/>
              </w:rPr>
              <w:t>SA “Moldovagaz”</w:t>
            </w:r>
          </w:p>
        </w:tc>
        <w:tc>
          <w:tcPr>
            <w:tcW w:w="1528" w:type="pct"/>
          </w:tcPr>
          <w:p w14:paraId="67DD8700" w14:textId="77777777" w:rsidR="00004C82" w:rsidRPr="007B4B28" w:rsidRDefault="00004C82" w:rsidP="00BB1A04">
            <w:pPr>
              <w:rPr>
                <w:sz w:val="22"/>
                <w:szCs w:val="22"/>
                <w:lang w:val="ro-MD"/>
              </w:rPr>
            </w:pPr>
            <w:r w:rsidRPr="007B4B28">
              <w:rPr>
                <w:sz w:val="22"/>
                <w:szCs w:val="22"/>
                <w:lang w:val="ro-MD"/>
              </w:rPr>
              <w:t>Taxa pentru neutralitate pentru echilibrare este plătită utilizatorului de sistem sau de către acesta.</w:t>
            </w:r>
          </w:p>
          <w:p w14:paraId="6A5C54A1" w14:textId="77777777" w:rsidR="00004C82" w:rsidRPr="007B4B28" w:rsidRDefault="00004C82" w:rsidP="00335651">
            <w:pPr>
              <w:pStyle w:val="NormalWeb"/>
              <w:tabs>
                <w:tab w:val="left" w:pos="851"/>
              </w:tabs>
              <w:ind w:firstLine="0"/>
              <w:rPr>
                <w:bCs/>
                <w:color w:val="000000"/>
                <w:sz w:val="22"/>
                <w:szCs w:val="22"/>
                <w:lang w:val="ro-MD"/>
              </w:rPr>
            </w:pPr>
          </w:p>
        </w:tc>
        <w:tc>
          <w:tcPr>
            <w:tcW w:w="1537" w:type="pct"/>
          </w:tcPr>
          <w:p w14:paraId="732790D5" w14:textId="2868D772" w:rsidR="00004C82" w:rsidRPr="007B4B28" w:rsidRDefault="00004C82" w:rsidP="008A3E25">
            <w:pPr>
              <w:tabs>
                <w:tab w:val="left" w:pos="0"/>
                <w:tab w:val="left" w:pos="851"/>
              </w:tabs>
              <w:jc w:val="both"/>
              <w:rPr>
                <w:sz w:val="22"/>
                <w:szCs w:val="22"/>
                <w:lang w:val="ro-RO"/>
              </w:rPr>
            </w:pPr>
            <w:r w:rsidRPr="007B4B28">
              <w:rPr>
                <w:sz w:val="22"/>
                <w:szCs w:val="22"/>
                <w:lang w:val="ro-RO"/>
              </w:rPr>
              <w:t>Cuvântul „</w:t>
            </w:r>
            <w:r w:rsidRPr="007B4B28">
              <w:rPr>
                <w:i/>
                <w:sz w:val="22"/>
                <w:szCs w:val="22"/>
                <w:lang w:val="ro-RO"/>
              </w:rPr>
              <w:t>Taxa</w:t>
            </w:r>
            <w:r w:rsidRPr="007B4B28">
              <w:rPr>
                <w:sz w:val="22"/>
                <w:szCs w:val="22"/>
                <w:lang w:val="ro-RO"/>
              </w:rPr>
              <w:t>” se va substitui cu cuvântul „</w:t>
            </w:r>
            <w:r w:rsidRPr="007B4B28">
              <w:rPr>
                <w:i/>
                <w:sz w:val="22"/>
                <w:szCs w:val="22"/>
                <w:lang w:val="ro-RO"/>
              </w:rPr>
              <w:t>Plata</w:t>
            </w:r>
            <w:r w:rsidRPr="007B4B28">
              <w:rPr>
                <w:sz w:val="22"/>
                <w:szCs w:val="22"/>
                <w:lang w:val="ro-RO"/>
              </w:rPr>
              <w:t>”, în conformitate cu pct. 153, 160 din Reguli;</w:t>
            </w:r>
          </w:p>
        </w:tc>
        <w:tc>
          <w:tcPr>
            <w:cnfStyle w:val="000100000000" w:firstRow="0" w:lastRow="0" w:firstColumn="0" w:lastColumn="1" w:oddVBand="0" w:evenVBand="0" w:oddHBand="0" w:evenHBand="0" w:firstRowFirstColumn="0" w:firstRowLastColumn="0" w:lastRowFirstColumn="0" w:lastRowLastColumn="0"/>
            <w:tcW w:w="1060" w:type="pct"/>
          </w:tcPr>
          <w:p w14:paraId="4FEC2E3E" w14:textId="48851714" w:rsidR="00004C82" w:rsidRPr="007B4B28" w:rsidRDefault="00004C82" w:rsidP="008A3E25">
            <w:pPr>
              <w:jc w:val="both"/>
              <w:rPr>
                <w:sz w:val="22"/>
                <w:szCs w:val="22"/>
                <w:lang w:val="ro-MD"/>
              </w:rPr>
            </w:pPr>
            <w:r>
              <w:rPr>
                <w:sz w:val="22"/>
                <w:szCs w:val="22"/>
                <w:lang w:val="ro-MD"/>
              </w:rPr>
              <w:t>Se acceptă</w:t>
            </w:r>
          </w:p>
        </w:tc>
      </w:tr>
      <w:tr w:rsidR="00004C82" w:rsidRPr="00511A6A" w14:paraId="1A0D6A18" w14:textId="77777777" w:rsidTr="001648D4">
        <w:trPr>
          <w:trHeight w:val="70"/>
        </w:trPr>
        <w:tc>
          <w:tcPr>
            <w:tcW w:w="339" w:type="pct"/>
          </w:tcPr>
          <w:p w14:paraId="652D7678" w14:textId="5193EC6D" w:rsidR="00004C82" w:rsidRPr="007B4B28" w:rsidRDefault="00004C82" w:rsidP="00BB1A04">
            <w:pPr>
              <w:rPr>
                <w:sz w:val="22"/>
                <w:szCs w:val="22"/>
                <w:lang w:val="ro-RO"/>
              </w:rPr>
            </w:pPr>
            <w:r w:rsidRPr="007B4B28">
              <w:rPr>
                <w:sz w:val="22"/>
                <w:szCs w:val="22"/>
                <w:lang w:val="ro-RO"/>
              </w:rPr>
              <w:t>Pct. 433</w:t>
            </w:r>
            <w:r w:rsidRPr="007B4B28">
              <w:rPr>
                <w:sz w:val="22"/>
                <w:szCs w:val="22"/>
                <w:vertAlign w:val="superscript"/>
                <w:lang w:val="ro-RO"/>
              </w:rPr>
              <w:t>113</w:t>
            </w:r>
          </w:p>
        </w:tc>
        <w:tc>
          <w:tcPr>
            <w:tcW w:w="536" w:type="pct"/>
          </w:tcPr>
          <w:p w14:paraId="1C26C5DE" w14:textId="59808916" w:rsidR="00004C82" w:rsidRPr="007B4B28" w:rsidRDefault="00004C82" w:rsidP="00BB1A04">
            <w:pPr>
              <w:rPr>
                <w:sz w:val="22"/>
                <w:szCs w:val="22"/>
                <w:lang w:val="en-GB"/>
              </w:rPr>
            </w:pPr>
            <w:r w:rsidRPr="007B4B28">
              <w:rPr>
                <w:sz w:val="22"/>
                <w:szCs w:val="22"/>
                <w:lang w:val="en-GB"/>
              </w:rPr>
              <w:t>SA “Moldovagaz”</w:t>
            </w:r>
          </w:p>
        </w:tc>
        <w:tc>
          <w:tcPr>
            <w:tcW w:w="1528" w:type="pct"/>
          </w:tcPr>
          <w:p w14:paraId="16819B2F" w14:textId="30D123D0" w:rsidR="00004C82" w:rsidRPr="007B4B28" w:rsidRDefault="00004C82" w:rsidP="00BB1A04">
            <w:pPr>
              <w:pStyle w:val="NormalWeb"/>
              <w:tabs>
                <w:tab w:val="left" w:pos="851"/>
              </w:tabs>
              <w:ind w:firstLine="0"/>
              <w:rPr>
                <w:bCs/>
                <w:color w:val="000000"/>
                <w:sz w:val="22"/>
                <w:szCs w:val="22"/>
                <w:lang w:val="ro-MD"/>
              </w:rPr>
            </w:pPr>
            <w:r w:rsidRPr="007B4B28">
              <w:rPr>
                <w:sz w:val="22"/>
                <w:szCs w:val="22"/>
                <w:lang w:val="ro-MD"/>
              </w:rPr>
              <w:t xml:space="preserve">După caz, </w:t>
            </w:r>
            <w:r w:rsidRPr="00511A6A">
              <w:rPr>
                <w:sz w:val="22"/>
                <w:szCs w:val="22"/>
                <w:lang w:val="ro-MD"/>
              </w:rPr>
              <w:t>metodologia OST</w:t>
            </w:r>
            <w:r w:rsidRPr="007B4B28">
              <w:rPr>
                <w:sz w:val="22"/>
                <w:szCs w:val="22"/>
                <w:lang w:val="ro-MD"/>
              </w:rPr>
              <w:t xml:space="preserve"> pentru calcularea plății pentru neutralitate pentru echilibrare poate prevedea norme pentru împărțirea plății pentru </w:t>
            </w:r>
            <w:r w:rsidRPr="007B4B28">
              <w:rPr>
                <w:sz w:val="22"/>
                <w:szCs w:val="22"/>
                <w:lang w:val="ro-MD"/>
              </w:rPr>
              <w:lastRenderedPageBreak/>
              <w:t>neutralitate pentru componentele echilibrării și repartizarea ulterioară a sumelor corespunzătoare în rândul utilizatorilor de sistem în vederea reducerii subvențiilor încrucișate.</w:t>
            </w:r>
            <w:r w:rsidR="00A053CD">
              <w:rPr>
                <w:sz w:val="22"/>
                <w:szCs w:val="22"/>
                <w:lang w:val="ro-MD"/>
              </w:rPr>
              <w:t>......</w:t>
            </w:r>
          </w:p>
        </w:tc>
        <w:tc>
          <w:tcPr>
            <w:tcW w:w="1537" w:type="pct"/>
          </w:tcPr>
          <w:p w14:paraId="3BCF1353" w14:textId="7E9E17B3" w:rsidR="00004C82" w:rsidRPr="007B4B28" w:rsidRDefault="00004C82" w:rsidP="00335651">
            <w:pPr>
              <w:tabs>
                <w:tab w:val="left" w:pos="0"/>
                <w:tab w:val="left" w:pos="851"/>
              </w:tabs>
              <w:rPr>
                <w:sz w:val="22"/>
                <w:szCs w:val="22"/>
                <w:lang w:val="ro-RO"/>
              </w:rPr>
            </w:pPr>
            <w:r w:rsidRPr="007B4B28">
              <w:rPr>
                <w:sz w:val="22"/>
                <w:szCs w:val="22"/>
                <w:lang w:val="ro-RO"/>
              </w:rPr>
              <w:lastRenderedPageBreak/>
              <w:t>După cuvântul „</w:t>
            </w:r>
            <w:r w:rsidRPr="007B4B28">
              <w:rPr>
                <w:i/>
                <w:sz w:val="22"/>
                <w:szCs w:val="22"/>
                <w:lang w:val="ro-RO"/>
              </w:rPr>
              <w:t>metodologia</w:t>
            </w:r>
            <w:r w:rsidRPr="007B4B28">
              <w:rPr>
                <w:sz w:val="22"/>
                <w:szCs w:val="22"/>
                <w:lang w:val="ro-RO"/>
              </w:rPr>
              <w:t>” se va exclude sintagma „</w:t>
            </w:r>
            <w:r w:rsidRPr="007B4B28">
              <w:rPr>
                <w:i/>
                <w:sz w:val="22"/>
                <w:szCs w:val="22"/>
                <w:lang w:val="ro-RO"/>
              </w:rPr>
              <w:t>OST</w:t>
            </w:r>
            <w:r w:rsidRPr="007B4B28">
              <w:rPr>
                <w:sz w:val="22"/>
                <w:szCs w:val="22"/>
                <w:lang w:val="ro-RO"/>
              </w:rPr>
              <w:t>”;</w:t>
            </w:r>
          </w:p>
          <w:p w14:paraId="052B2322" w14:textId="77777777" w:rsidR="00004C82" w:rsidRPr="007B4B28" w:rsidRDefault="00004C82" w:rsidP="0080755D">
            <w:pPr>
              <w:tabs>
                <w:tab w:val="left" w:pos="0"/>
                <w:tab w:val="left" w:pos="851"/>
                <w:tab w:val="left" w:pos="1134"/>
              </w:tabs>
              <w:jc w:val="both"/>
              <w:rPr>
                <w:sz w:val="22"/>
                <w:szCs w:val="22"/>
                <w:lang w:val="ro-RO"/>
              </w:rPr>
            </w:pPr>
          </w:p>
        </w:tc>
        <w:tc>
          <w:tcPr>
            <w:cnfStyle w:val="000100000000" w:firstRow="0" w:lastRow="0" w:firstColumn="0" w:lastColumn="1" w:oddVBand="0" w:evenVBand="0" w:oddHBand="0" w:evenHBand="0" w:firstRowFirstColumn="0" w:firstRowLastColumn="0" w:lastRowFirstColumn="0" w:lastRowLastColumn="0"/>
            <w:tcW w:w="1060" w:type="pct"/>
          </w:tcPr>
          <w:p w14:paraId="7F74DAC0" w14:textId="77777777" w:rsidR="00193A57" w:rsidRDefault="00193A57" w:rsidP="008A3E25">
            <w:pPr>
              <w:jc w:val="both"/>
              <w:rPr>
                <w:sz w:val="22"/>
                <w:szCs w:val="22"/>
                <w:lang w:val="ro-MD"/>
              </w:rPr>
            </w:pPr>
          </w:p>
          <w:p w14:paraId="5E00AEB0" w14:textId="77777777" w:rsidR="0080755D" w:rsidRDefault="0080755D" w:rsidP="0080755D">
            <w:pPr>
              <w:jc w:val="both"/>
              <w:rPr>
                <w:b w:val="0"/>
                <w:bCs w:val="0"/>
                <w:sz w:val="22"/>
                <w:szCs w:val="22"/>
                <w:lang w:val="ro-MD"/>
              </w:rPr>
            </w:pPr>
            <w:r>
              <w:rPr>
                <w:sz w:val="22"/>
                <w:szCs w:val="22"/>
                <w:lang w:val="ro-MD"/>
              </w:rPr>
              <w:t>Nu s</w:t>
            </w:r>
            <w:r w:rsidR="00A053CD">
              <w:rPr>
                <w:sz w:val="22"/>
                <w:szCs w:val="22"/>
                <w:lang w:val="ro-MD"/>
              </w:rPr>
              <w:t>e acceptă</w:t>
            </w:r>
            <w:r>
              <w:rPr>
                <w:sz w:val="22"/>
                <w:szCs w:val="22"/>
                <w:lang w:val="ro-MD"/>
              </w:rPr>
              <w:t>.</w:t>
            </w:r>
          </w:p>
          <w:p w14:paraId="5A43C9F6" w14:textId="77777777" w:rsidR="00A02E9A" w:rsidRPr="00E613F1" w:rsidRDefault="00A02E9A" w:rsidP="00A02E9A">
            <w:pPr>
              <w:jc w:val="both"/>
              <w:rPr>
                <w:b w:val="0"/>
                <w:bCs w:val="0"/>
                <w:sz w:val="22"/>
                <w:szCs w:val="22"/>
                <w:lang w:val="ro-MD"/>
              </w:rPr>
            </w:pPr>
            <w:r w:rsidRPr="00E613F1">
              <w:rPr>
                <w:b w:val="0"/>
                <w:bCs w:val="0"/>
                <w:sz w:val="22"/>
                <w:szCs w:val="22"/>
                <w:lang w:val="ro-MD"/>
              </w:rPr>
              <w:lastRenderedPageBreak/>
              <w:t>Nu corespunde textului Regulamentului UE 312/2014.</w:t>
            </w:r>
          </w:p>
          <w:p w14:paraId="62EF86A6" w14:textId="3900442A" w:rsidR="0080755D" w:rsidRPr="0080755D" w:rsidRDefault="0080755D" w:rsidP="0080755D">
            <w:pPr>
              <w:jc w:val="both"/>
              <w:rPr>
                <w:b w:val="0"/>
                <w:bCs w:val="0"/>
                <w:sz w:val="22"/>
                <w:szCs w:val="22"/>
                <w:lang w:val="ro-MD"/>
              </w:rPr>
            </w:pPr>
          </w:p>
        </w:tc>
      </w:tr>
      <w:tr w:rsidR="0080755D" w:rsidRPr="003A1871" w14:paraId="42D89358" w14:textId="77777777" w:rsidTr="0080755D">
        <w:trPr>
          <w:trHeight w:val="70"/>
        </w:trPr>
        <w:tc>
          <w:tcPr>
            <w:tcW w:w="339" w:type="pct"/>
          </w:tcPr>
          <w:p w14:paraId="18A8E419" w14:textId="38C75255" w:rsidR="0080755D" w:rsidRPr="007B4B28" w:rsidRDefault="0080755D" w:rsidP="00BB1A04">
            <w:pPr>
              <w:rPr>
                <w:sz w:val="22"/>
                <w:szCs w:val="22"/>
                <w:lang w:val="ro-RO"/>
              </w:rPr>
            </w:pPr>
            <w:r>
              <w:rPr>
                <w:sz w:val="22"/>
                <w:szCs w:val="22"/>
                <w:lang w:val="ro-RO"/>
              </w:rPr>
              <w:lastRenderedPageBreak/>
              <w:t>Capitolul VIII</w:t>
            </w:r>
          </w:p>
        </w:tc>
        <w:tc>
          <w:tcPr>
            <w:tcW w:w="536" w:type="pct"/>
          </w:tcPr>
          <w:p w14:paraId="22434E0E" w14:textId="1F6DDF0F" w:rsidR="0080755D" w:rsidRPr="007B4B28" w:rsidRDefault="0080755D" w:rsidP="00BB1A04">
            <w:pPr>
              <w:rPr>
                <w:sz w:val="22"/>
                <w:szCs w:val="22"/>
                <w:lang w:val="en-GB"/>
              </w:rPr>
            </w:pPr>
            <w:r w:rsidRPr="007B4B28">
              <w:rPr>
                <w:sz w:val="22"/>
                <w:szCs w:val="22"/>
                <w:lang w:val="en-GB"/>
              </w:rPr>
              <w:t>SA “Moldovagaz”</w:t>
            </w:r>
          </w:p>
        </w:tc>
        <w:tc>
          <w:tcPr>
            <w:tcW w:w="3065" w:type="pct"/>
            <w:gridSpan w:val="2"/>
          </w:tcPr>
          <w:p w14:paraId="70A82375" w14:textId="1CA697C5" w:rsidR="0080755D" w:rsidRPr="005F771C" w:rsidRDefault="0080755D" w:rsidP="0080755D">
            <w:pPr>
              <w:tabs>
                <w:tab w:val="left" w:pos="0"/>
                <w:tab w:val="left" w:pos="851"/>
              </w:tabs>
              <w:jc w:val="both"/>
              <w:rPr>
                <w:sz w:val="22"/>
                <w:szCs w:val="22"/>
                <w:lang w:val="ro-RO"/>
              </w:rPr>
            </w:pPr>
            <w:r w:rsidRPr="005F771C">
              <w:rPr>
                <w:sz w:val="22"/>
                <w:szCs w:val="22"/>
                <w:lang w:val="ro-RO"/>
              </w:rPr>
              <w:t>În tot textul Capitolului VIII:</w:t>
            </w:r>
          </w:p>
          <w:p w14:paraId="7D6543F9" w14:textId="77777777" w:rsidR="0080755D" w:rsidRPr="005F771C" w:rsidRDefault="0080755D" w:rsidP="0080755D">
            <w:pPr>
              <w:tabs>
                <w:tab w:val="left" w:pos="0"/>
                <w:tab w:val="left" w:pos="851"/>
                <w:tab w:val="left" w:pos="1134"/>
              </w:tabs>
              <w:jc w:val="both"/>
              <w:rPr>
                <w:sz w:val="22"/>
                <w:szCs w:val="22"/>
                <w:lang w:val="en-US"/>
              </w:rPr>
            </w:pPr>
            <w:r w:rsidRPr="005F771C">
              <w:rPr>
                <w:sz w:val="22"/>
                <w:szCs w:val="22"/>
                <w:lang w:val="en-US"/>
              </w:rPr>
              <w:t>cuvântul „</w:t>
            </w:r>
            <w:r w:rsidRPr="005F771C">
              <w:rPr>
                <w:i/>
                <w:sz w:val="22"/>
                <w:szCs w:val="22"/>
                <w:lang w:val="en-US"/>
              </w:rPr>
              <w:t>ieșirile</w:t>
            </w:r>
            <w:r w:rsidRPr="005F771C">
              <w:rPr>
                <w:sz w:val="22"/>
                <w:szCs w:val="22"/>
                <w:lang w:val="en-US"/>
              </w:rPr>
              <w:t xml:space="preserve">” </w:t>
            </w:r>
            <w:r w:rsidRPr="005F771C">
              <w:rPr>
                <w:sz w:val="22"/>
                <w:szCs w:val="22"/>
                <w:lang w:val="en-GB"/>
              </w:rPr>
              <w:t xml:space="preserve">de </w:t>
            </w:r>
            <w:r w:rsidRPr="005F771C">
              <w:rPr>
                <w:sz w:val="22"/>
                <w:szCs w:val="22"/>
                <w:lang w:val="en-US"/>
              </w:rPr>
              <w:t>substitui</w:t>
            </w:r>
            <w:r w:rsidRPr="005F771C">
              <w:rPr>
                <w:sz w:val="22"/>
                <w:szCs w:val="22"/>
                <w:lang w:val="en-GB"/>
              </w:rPr>
              <w:t>t</w:t>
            </w:r>
            <w:r w:rsidRPr="005F771C">
              <w:rPr>
                <w:sz w:val="22"/>
                <w:szCs w:val="22"/>
                <w:lang w:val="en-US"/>
              </w:rPr>
              <w:t xml:space="preserve"> cu cuvântul „</w:t>
            </w:r>
            <w:r w:rsidRPr="005F771C">
              <w:rPr>
                <w:i/>
                <w:sz w:val="22"/>
                <w:szCs w:val="22"/>
                <w:lang w:val="en-US"/>
              </w:rPr>
              <w:t>consumul</w:t>
            </w:r>
            <w:r w:rsidRPr="005F771C">
              <w:rPr>
                <w:sz w:val="22"/>
                <w:szCs w:val="22"/>
                <w:lang w:val="en-US"/>
              </w:rPr>
              <w:t>”,</w:t>
            </w:r>
          </w:p>
          <w:p w14:paraId="6AF0E337" w14:textId="79145461" w:rsidR="0080755D" w:rsidRPr="005F771C" w:rsidRDefault="0080755D" w:rsidP="005F771C">
            <w:pPr>
              <w:tabs>
                <w:tab w:val="left" w:pos="0"/>
                <w:tab w:val="left" w:pos="851"/>
                <w:tab w:val="left" w:pos="1134"/>
              </w:tabs>
              <w:jc w:val="both"/>
              <w:rPr>
                <w:sz w:val="22"/>
                <w:szCs w:val="22"/>
                <w:lang w:val="en-US"/>
              </w:rPr>
            </w:pPr>
            <w:r w:rsidRPr="005F771C">
              <w:rPr>
                <w:sz w:val="22"/>
                <w:szCs w:val="22"/>
                <w:lang w:val="en-US"/>
              </w:rPr>
              <w:t>cuvântul „</w:t>
            </w:r>
            <w:r w:rsidRPr="005F771C">
              <w:rPr>
                <w:i/>
                <w:sz w:val="22"/>
                <w:szCs w:val="22"/>
                <w:lang w:val="en-US"/>
              </w:rPr>
              <w:t>contorizate</w:t>
            </w:r>
            <w:r w:rsidRPr="005F771C">
              <w:rPr>
                <w:sz w:val="22"/>
                <w:szCs w:val="22"/>
                <w:lang w:val="en-US"/>
              </w:rPr>
              <w:t xml:space="preserve">” </w:t>
            </w:r>
            <w:r w:rsidRPr="005F771C">
              <w:rPr>
                <w:sz w:val="22"/>
                <w:szCs w:val="22"/>
                <w:lang w:val="en-GB"/>
              </w:rPr>
              <w:t xml:space="preserve">de </w:t>
            </w:r>
            <w:r w:rsidRPr="005F771C">
              <w:rPr>
                <w:sz w:val="22"/>
                <w:szCs w:val="22"/>
                <w:lang w:val="en-US"/>
              </w:rPr>
              <w:t>substitui</w:t>
            </w:r>
            <w:r w:rsidRPr="005F771C">
              <w:rPr>
                <w:sz w:val="22"/>
                <w:szCs w:val="22"/>
                <w:lang w:val="en-GB"/>
              </w:rPr>
              <w:t>t</w:t>
            </w:r>
            <w:r w:rsidRPr="005F771C">
              <w:rPr>
                <w:sz w:val="22"/>
                <w:szCs w:val="22"/>
                <w:lang w:val="en-US"/>
              </w:rPr>
              <w:t xml:space="preserve"> cu cuvântul „</w:t>
            </w:r>
            <w:r w:rsidRPr="005F771C">
              <w:rPr>
                <w:i/>
                <w:sz w:val="22"/>
                <w:szCs w:val="22"/>
                <w:lang w:val="en-US"/>
              </w:rPr>
              <w:t>măsurare</w:t>
            </w:r>
            <w:r w:rsidRPr="005F771C">
              <w:rPr>
                <w:sz w:val="22"/>
                <w:szCs w:val="22"/>
                <w:lang w:val="en-US"/>
              </w:rPr>
              <w:t>”, în conformitate cu pct. 2 al prezentului proiect;</w:t>
            </w:r>
          </w:p>
        </w:tc>
        <w:tc>
          <w:tcPr>
            <w:cnfStyle w:val="000100000000" w:firstRow="0" w:lastRow="0" w:firstColumn="0" w:lastColumn="1" w:oddVBand="0" w:evenVBand="0" w:oddHBand="0" w:evenHBand="0" w:firstRowFirstColumn="0" w:firstRowLastColumn="0" w:lastRowFirstColumn="0" w:lastRowLastColumn="0"/>
            <w:tcW w:w="1060" w:type="pct"/>
          </w:tcPr>
          <w:p w14:paraId="117F8867" w14:textId="77777777" w:rsidR="0080755D" w:rsidRPr="005F771C" w:rsidRDefault="0080755D" w:rsidP="0080755D">
            <w:pPr>
              <w:jc w:val="both"/>
              <w:rPr>
                <w:sz w:val="22"/>
                <w:szCs w:val="22"/>
                <w:lang w:val="ro-MD"/>
              </w:rPr>
            </w:pPr>
          </w:p>
          <w:p w14:paraId="3649A8AC" w14:textId="7A429F7D" w:rsidR="0080755D" w:rsidRPr="005F771C" w:rsidRDefault="0080755D" w:rsidP="0080755D">
            <w:pPr>
              <w:jc w:val="both"/>
              <w:rPr>
                <w:sz w:val="22"/>
                <w:szCs w:val="22"/>
                <w:lang w:val="ro-MD"/>
              </w:rPr>
            </w:pPr>
            <w:r w:rsidRPr="005F771C">
              <w:rPr>
                <w:sz w:val="22"/>
                <w:szCs w:val="22"/>
                <w:lang w:val="ro-MD"/>
              </w:rPr>
              <w:t>Se acceptă</w:t>
            </w:r>
          </w:p>
        </w:tc>
      </w:tr>
      <w:tr w:rsidR="00004C82" w:rsidRPr="00511A6A" w14:paraId="3FDFFA8C" w14:textId="77777777" w:rsidTr="001648D4">
        <w:trPr>
          <w:trHeight w:val="70"/>
        </w:trPr>
        <w:tc>
          <w:tcPr>
            <w:tcW w:w="339" w:type="pct"/>
          </w:tcPr>
          <w:p w14:paraId="0A61F440" w14:textId="08CF4338" w:rsidR="00004C82" w:rsidRPr="007B4B28" w:rsidRDefault="00004C82" w:rsidP="00BB1A04">
            <w:pPr>
              <w:rPr>
                <w:sz w:val="22"/>
                <w:szCs w:val="22"/>
                <w:lang w:val="ro-RO"/>
              </w:rPr>
            </w:pPr>
            <w:r w:rsidRPr="007B4B28">
              <w:rPr>
                <w:color w:val="000000"/>
                <w:sz w:val="22"/>
                <w:szCs w:val="22"/>
              </w:rPr>
              <w:t>Punctul 433</w:t>
            </w:r>
            <w:r w:rsidRPr="007B4B28">
              <w:rPr>
                <w:color w:val="000000"/>
                <w:sz w:val="22"/>
                <w:szCs w:val="22"/>
                <w:vertAlign w:val="superscript"/>
              </w:rPr>
              <w:t>146</w:t>
            </w:r>
          </w:p>
        </w:tc>
        <w:tc>
          <w:tcPr>
            <w:tcW w:w="536" w:type="pct"/>
          </w:tcPr>
          <w:p w14:paraId="2439CB78" w14:textId="77777777" w:rsidR="00004C82" w:rsidRDefault="00004C82" w:rsidP="00BB1A04">
            <w:pPr>
              <w:rPr>
                <w:sz w:val="22"/>
                <w:szCs w:val="22"/>
                <w:lang w:val="ro-MD"/>
              </w:rPr>
            </w:pPr>
            <w:r w:rsidRPr="009E56E9">
              <w:rPr>
                <w:sz w:val="22"/>
                <w:szCs w:val="22"/>
                <w:lang w:val="ro-RO"/>
              </w:rPr>
              <w:t>SRL</w:t>
            </w:r>
            <w:r w:rsidRPr="007B4B28">
              <w:rPr>
                <w:sz w:val="22"/>
                <w:szCs w:val="22"/>
                <w:lang w:val="ro-MD"/>
              </w:rPr>
              <w:t>”Bălţi-gaz”</w:t>
            </w:r>
          </w:p>
          <w:p w14:paraId="50A71ABD" w14:textId="77777777" w:rsidR="00356C29" w:rsidRDefault="00356C29" w:rsidP="00BB1A04">
            <w:pPr>
              <w:rPr>
                <w:sz w:val="22"/>
                <w:szCs w:val="22"/>
                <w:lang w:val="ro-MD"/>
              </w:rPr>
            </w:pPr>
          </w:p>
          <w:p w14:paraId="5E070023" w14:textId="77777777" w:rsidR="00356C29" w:rsidRDefault="00356C29" w:rsidP="00335651">
            <w:pPr>
              <w:rPr>
                <w:sz w:val="22"/>
                <w:szCs w:val="22"/>
                <w:lang w:val="ro-MD"/>
              </w:rPr>
            </w:pPr>
          </w:p>
          <w:p w14:paraId="77DC1195" w14:textId="77777777" w:rsidR="00356C29" w:rsidRDefault="00356C29" w:rsidP="0080755D">
            <w:pPr>
              <w:rPr>
                <w:sz w:val="22"/>
                <w:szCs w:val="22"/>
                <w:lang w:val="ro-MD"/>
              </w:rPr>
            </w:pPr>
          </w:p>
          <w:p w14:paraId="71692534" w14:textId="77777777" w:rsidR="00356C29" w:rsidRDefault="00356C29" w:rsidP="008A3E25">
            <w:pPr>
              <w:rPr>
                <w:sz w:val="22"/>
                <w:szCs w:val="22"/>
                <w:lang w:val="ro-MD"/>
              </w:rPr>
            </w:pPr>
          </w:p>
          <w:p w14:paraId="6AE3EEF3" w14:textId="6B25F996" w:rsidR="00356C29" w:rsidRPr="007B4B28" w:rsidRDefault="00356C29" w:rsidP="00C45E6F">
            <w:pPr>
              <w:rPr>
                <w:sz w:val="22"/>
                <w:szCs w:val="22"/>
                <w:lang w:val="ro-MD"/>
              </w:rPr>
            </w:pPr>
            <w:r>
              <w:rPr>
                <w:sz w:val="22"/>
                <w:szCs w:val="22"/>
                <w:lang w:val="ro-MD"/>
              </w:rPr>
              <w:t>SRL Chișinău-gaz</w:t>
            </w:r>
          </w:p>
        </w:tc>
        <w:tc>
          <w:tcPr>
            <w:tcW w:w="1528" w:type="pct"/>
          </w:tcPr>
          <w:p w14:paraId="7BBB4937" w14:textId="65C8D63C" w:rsidR="00356C29" w:rsidRDefault="00004C82" w:rsidP="008E0AB4">
            <w:pPr>
              <w:pStyle w:val="NormalWeb"/>
              <w:tabs>
                <w:tab w:val="left" w:pos="851"/>
              </w:tabs>
              <w:ind w:firstLine="0"/>
              <w:rPr>
                <w:sz w:val="22"/>
                <w:szCs w:val="22"/>
                <w:lang w:val="ro-MD"/>
              </w:rPr>
            </w:pPr>
            <w:r w:rsidRPr="007B4B28">
              <w:rPr>
                <w:sz w:val="22"/>
                <w:szCs w:val="22"/>
                <w:lang w:val="ro-MD"/>
              </w:rPr>
              <w:t>Agenția desemnează OSD partea responsabilă de prognozare într-o zonă de echilibrare în urma consultării prealabile a OST și a OSD în cauză. Partea responsabilă de prognozare este responsabilă cu prognozarea ieșirilor</w:t>
            </w:r>
            <w:r w:rsidR="00D12139">
              <w:rPr>
                <w:sz w:val="22"/>
                <w:szCs w:val="22"/>
                <w:lang w:val="ro-MD"/>
              </w:rPr>
              <w:t>,</w:t>
            </w:r>
            <w:r w:rsidRPr="007B4B28">
              <w:rPr>
                <w:sz w:val="22"/>
                <w:szCs w:val="22"/>
                <w:lang w:val="ro-MD"/>
              </w:rPr>
              <w:t xml:space="preserve"> cu măsurare nonzilnică ale unui utilizator de sistem și, după caz, a alocării lor ulterioare. Aceasta </w:t>
            </w:r>
          </w:p>
          <w:p w14:paraId="4552C6DB" w14:textId="7B4EC25F" w:rsidR="00356C29" w:rsidRPr="00A02E9A" w:rsidRDefault="00004C82" w:rsidP="00EF13E1">
            <w:pPr>
              <w:pStyle w:val="NormalWeb"/>
              <w:tabs>
                <w:tab w:val="left" w:pos="851"/>
              </w:tabs>
              <w:ind w:firstLine="0"/>
              <w:rPr>
                <w:sz w:val="22"/>
                <w:szCs w:val="22"/>
                <w:lang w:val="ro-MD"/>
              </w:rPr>
            </w:pPr>
            <w:r w:rsidRPr="007B4B28">
              <w:rPr>
                <w:sz w:val="22"/>
                <w:szCs w:val="22"/>
                <w:lang w:val="ro-MD"/>
              </w:rPr>
              <w:t>poate fi un OST, un OSD sau o parte terță.</w:t>
            </w:r>
          </w:p>
        </w:tc>
        <w:tc>
          <w:tcPr>
            <w:tcW w:w="1537" w:type="pct"/>
          </w:tcPr>
          <w:p w14:paraId="71261795" w14:textId="6BDD2B9D" w:rsidR="00004C82" w:rsidRPr="00356C29" w:rsidRDefault="00004C82" w:rsidP="00FD1806">
            <w:pPr>
              <w:jc w:val="both"/>
              <w:rPr>
                <w:color w:val="000000"/>
                <w:sz w:val="22"/>
                <w:szCs w:val="22"/>
                <w:lang w:val="en-US"/>
              </w:rPr>
            </w:pPr>
            <w:r w:rsidRPr="007B4B28">
              <w:rPr>
                <w:color w:val="000000"/>
                <w:sz w:val="22"/>
                <w:szCs w:val="22"/>
                <w:lang w:val="ro-MD"/>
              </w:rPr>
              <w:t xml:space="preserve">Ultima </w:t>
            </w:r>
            <w:r w:rsidRPr="00356C29">
              <w:rPr>
                <w:color w:val="000000"/>
                <w:sz w:val="22"/>
                <w:szCs w:val="22"/>
                <w:lang w:val="en-US"/>
              </w:rPr>
              <w:t xml:space="preserve">propoziție </w:t>
            </w:r>
            <w:r w:rsidRPr="007B4B28">
              <w:rPr>
                <w:color w:val="000000"/>
                <w:sz w:val="22"/>
                <w:szCs w:val="22"/>
                <w:lang w:val="ro-MD"/>
              </w:rPr>
              <w:t>de redactat în</w:t>
            </w:r>
            <w:r w:rsidRPr="00356C29">
              <w:rPr>
                <w:color w:val="000000"/>
                <w:sz w:val="22"/>
                <w:szCs w:val="22"/>
                <w:lang w:val="en-US"/>
              </w:rPr>
              <w:t xml:space="preserve"> redacție nouă</w:t>
            </w:r>
          </w:p>
          <w:p w14:paraId="5D63A0F2" w14:textId="77777777" w:rsidR="00004C82" w:rsidRPr="00356C29" w:rsidRDefault="00004C82" w:rsidP="00245F6F">
            <w:pPr>
              <w:jc w:val="both"/>
              <w:rPr>
                <w:color w:val="000000"/>
                <w:sz w:val="22"/>
                <w:szCs w:val="22"/>
                <w:lang w:val="en-US"/>
              </w:rPr>
            </w:pPr>
            <w:r w:rsidRPr="00356C29">
              <w:rPr>
                <w:color w:val="000000"/>
                <w:sz w:val="22"/>
                <w:szCs w:val="22"/>
                <w:lang w:val="en-US"/>
              </w:rPr>
              <w:t>„ ..... .Aceasta poate fi o parte terță”.</w:t>
            </w:r>
          </w:p>
          <w:p w14:paraId="636531B2" w14:textId="2311B7D5" w:rsidR="00356C29" w:rsidRDefault="00356C29" w:rsidP="00E80DB2">
            <w:pPr>
              <w:tabs>
                <w:tab w:val="left" w:pos="0"/>
                <w:tab w:val="left" w:pos="851"/>
              </w:tabs>
              <w:rPr>
                <w:sz w:val="22"/>
                <w:szCs w:val="22"/>
                <w:lang w:val="ro-RO"/>
              </w:rPr>
            </w:pPr>
          </w:p>
          <w:p w14:paraId="67A7415F" w14:textId="77777777" w:rsidR="00356C29" w:rsidRDefault="00356C29" w:rsidP="00575BB2">
            <w:pPr>
              <w:tabs>
                <w:tab w:val="left" w:pos="0"/>
                <w:tab w:val="left" w:pos="851"/>
              </w:tabs>
              <w:rPr>
                <w:sz w:val="22"/>
                <w:szCs w:val="22"/>
                <w:lang w:val="ro-RO"/>
              </w:rPr>
            </w:pPr>
          </w:p>
          <w:p w14:paraId="13A38CAA" w14:textId="769EA023" w:rsidR="00356C29" w:rsidRPr="007B4B28" w:rsidRDefault="00356C29" w:rsidP="0077698B">
            <w:pPr>
              <w:tabs>
                <w:tab w:val="left" w:pos="0"/>
                <w:tab w:val="left" w:pos="851"/>
              </w:tabs>
              <w:rPr>
                <w:sz w:val="22"/>
                <w:szCs w:val="22"/>
                <w:lang w:val="ro-RO"/>
              </w:rPr>
            </w:pPr>
            <w:r>
              <w:rPr>
                <w:sz w:val="22"/>
                <w:szCs w:val="22"/>
                <w:lang w:val="ro-RO"/>
              </w:rPr>
              <w:t>Se consideră oportun</w:t>
            </w:r>
            <w:r w:rsidR="00E967B5">
              <w:rPr>
                <w:sz w:val="22"/>
                <w:szCs w:val="22"/>
                <w:lang w:val="ro-RO"/>
              </w:rPr>
              <w:t xml:space="preserve"> desemnarea în calitate de partea responsabilă de prognozare întro zonă de echilibrare a unei terțe parte.</w:t>
            </w:r>
          </w:p>
        </w:tc>
        <w:tc>
          <w:tcPr>
            <w:cnfStyle w:val="000100000000" w:firstRow="0" w:lastRow="0" w:firstColumn="0" w:lastColumn="1" w:oddVBand="0" w:evenVBand="0" w:oddHBand="0" w:evenHBand="0" w:firstRowFirstColumn="0" w:firstRowLastColumn="0" w:lastRowFirstColumn="0" w:lastRowLastColumn="0"/>
            <w:tcW w:w="1060" w:type="pct"/>
          </w:tcPr>
          <w:p w14:paraId="07F136D1" w14:textId="4BD0AB58" w:rsidR="00A02E9A" w:rsidRPr="00E613F1" w:rsidRDefault="00D12139" w:rsidP="00A02E9A">
            <w:pPr>
              <w:jc w:val="both"/>
              <w:rPr>
                <w:b w:val="0"/>
                <w:bCs w:val="0"/>
                <w:sz w:val="22"/>
                <w:szCs w:val="22"/>
                <w:lang w:val="ro-MD"/>
              </w:rPr>
            </w:pPr>
            <w:r>
              <w:rPr>
                <w:sz w:val="22"/>
                <w:szCs w:val="22"/>
                <w:lang w:val="ro-MD"/>
              </w:rPr>
              <w:t>Nu se acceptă</w:t>
            </w:r>
            <w:r w:rsidR="004247FA">
              <w:rPr>
                <w:sz w:val="22"/>
                <w:szCs w:val="22"/>
                <w:lang w:val="ro-MD"/>
              </w:rPr>
              <w:t xml:space="preserve">, </w:t>
            </w:r>
            <w:r w:rsidR="00A02E9A" w:rsidRPr="00E613F1">
              <w:rPr>
                <w:b w:val="0"/>
                <w:bCs w:val="0"/>
                <w:sz w:val="22"/>
                <w:szCs w:val="22"/>
                <w:lang w:val="ro-MD"/>
              </w:rPr>
              <w:t xml:space="preserve"> Nu corespunde textului Regulamentului UE 312/2014.</w:t>
            </w:r>
          </w:p>
          <w:p w14:paraId="43A36CA6" w14:textId="77777777" w:rsidR="0080755D" w:rsidRDefault="0080755D" w:rsidP="0080755D">
            <w:pPr>
              <w:jc w:val="both"/>
              <w:rPr>
                <w:sz w:val="22"/>
                <w:szCs w:val="22"/>
                <w:lang w:val="ro-MD"/>
              </w:rPr>
            </w:pPr>
          </w:p>
          <w:p w14:paraId="045805B7" w14:textId="42DC020A" w:rsidR="00E967B5" w:rsidRPr="007B4B28" w:rsidRDefault="00A02E9A" w:rsidP="00A02E9A">
            <w:pPr>
              <w:jc w:val="both"/>
              <w:rPr>
                <w:sz w:val="22"/>
                <w:szCs w:val="22"/>
                <w:lang w:val="ro-MD"/>
              </w:rPr>
            </w:pPr>
            <w:r>
              <w:rPr>
                <w:sz w:val="22"/>
                <w:szCs w:val="22"/>
                <w:lang w:val="ro-MD"/>
              </w:rPr>
              <w:t xml:space="preserve">Nu se acceptă, </w:t>
            </w:r>
            <w:r w:rsidRPr="00E613F1">
              <w:rPr>
                <w:b w:val="0"/>
                <w:bCs w:val="0"/>
                <w:sz w:val="22"/>
                <w:szCs w:val="22"/>
                <w:lang w:val="ro-MD"/>
              </w:rPr>
              <w:t xml:space="preserve"> </w:t>
            </w:r>
            <w:r>
              <w:rPr>
                <w:b w:val="0"/>
                <w:bCs w:val="0"/>
                <w:sz w:val="22"/>
                <w:szCs w:val="22"/>
                <w:lang w:val="ro-MD"/>
              </w:rPr>
              <w:t>contravine prevederilor Regulilor pieței gazelor naturale</w:t>
            </w:r>
            <w:r w:rsidR="0080755D" w:rsidRPr="00A02E9A">
              <w:rPr>
                <w:b w:val="0"/>
                <w:sz w:val="22"/>
                <w:szCs w:val="22"/>
                <w:lang w:val="ro-MD"/>
              </w:rPr>
              <w:t>.</w:t>
            </w:r>
          </w:p>
        </w:tc>
      </w:tr>
      <w:tr w:rsidR="00004C82" w:rsidRPr="00511A6A" w14:paraId="548CCDD3" w14:textId="77777777" w:rsidTr="001648D4">
        <w:trPr>
          <w:trHeight w:val="70"/>
        </w:trPr>
        <w:tc>
          <w:tcPr>
            <w:tcW w:w="339" w:type="pct"/>
          </w:tcPr>
          <w:p w14:paraId="6067EF1D" w14:textId="77777777" w:rsidR="003F39F8" w:rsidRDefault="00004C82" w:rsidP="00BB1A04">
            <w:pPr>
              <w:rPr>
                <w:sz w:val="22"/>
                <w:szCs w:val="22"/>
                <w:lang w:val="ro-RO"/>
              </w:rPr>
            </w:pPr>
            <w:r w:rsidRPr="007B4B28">
              <w:rPr>
                <w:sz w:val="22"/>
                <w:szCs w:val="22"/>
                <w:lang w:val="ro-RO"/>
              </w:rPr>
              <w:t xml:space="preserve">Pct. </w:t>
            </w:r>
          </w:p>
          <w:p w14:paraId="4A40C8AE" w14:textId="16AEF7DB" w:rsidR="00004C82" w:rsidRDefault="00004C82" w:rsidP="00BB1A04">
            <w:pPr>
              <w:rPr>
                <w:sz w:val="22"/>
                <w:szCs w:val="22"/>
                <w:vertAlign w:val="superscript"/>
                <w:lang w:val="ro-RO"/>
              </w:rPr>
            </w:pPr>
            <w:r w:rsidRPr="007B4B28">
              <w:rPr>
                <w:sz w:val="22"/>
                <w:szCs w:val="22"/>
                <w:lang w:val="ro-RO"/>
              </w:rPr>
              <w:t>433</w:t>
            </w:r>
            <w:r w:rsidRPr="007B4B28">
              <w:rPr>
                <w:sz w:val="22"/>
                <w:szCs w:val="22"/>
                <w:vertAlign w:val="superscript"/>
                <w:lang w:val="ro-RO"/>
              </w:rPr>
              <w:t>148</w:t>
            </w:r>
          </w:p>
          <w:p w14:paraId="32DB035C" w14:textId="77777777" w:rsidR="00D12139" w:rsidRDefault="00D12139" w:rsidP="00BB1A04">
            <w:pPr>
              <w:rPr>
                <w:sz w:val="22"/>
                <w:szCs w:val="22"/>
                <w:vertAlign w:val="superscript"/>
                <w:lang w:val="ro-RO"/>
              </w:rPr>
            </w:pPr>
          </w:p>
          <w:p w14:paraId="24DD88C4" w14:textId="77777777" w:rsidR="00D12139" w:rsidRDefault="00D12139" w:rsidP="00335651">
            <w:pPr>
              <w:rPr>
                <w:sz w:val="22"/>
                <w:szCs w:val="22"/>
                <w:vertAlign w:val="superscript"/>
                <w:lang w:val="ro-RO"/>
              </w:rPr>
            </w:pPr>
          </w:p>
          <w:p w14:paraId="6B1F22ED" w14:textId="77777777" w:rsidR="00D12139" w:rsidRDefault="00D12139" w:rsidP="0080755D">
            <w:pPr>
              <w:rPr>
                <w:sz w:val="22"/>
                <w:szCs w:val="22"/>
                <w:vertAlign w:val="superscript"/>
                <w:lang w:val="ro-RO"/>
              </w:rPr>
            </w:pPr>
          </w:p>
          <w:p w14:paraId="7196BEA1" w14:textId="77777777" w:rsidR="00D12139" w:rsidRDefault="00D12139" w:rsidP="008A3E25">
            <w:pPr>
              <w:rPr>
                <w:sz w:val="22"/>
                <w:szCs w:val="22"/>
                <w:vertAlign w:val="superscript"/>
                <w:lang w:val="ro-RO"/>
              </w:rPr>
            </w:pPr>
          </w:p>
          <w:p w14:paraId="73387078" w14:textId="6CA0E458" w:rsidR="00EE0165" w:rsidRDefault="00EE0165" w:rsidP="00EF13E1">
            <w:pPr>
              <w:rPr>
                <w:sz w:val="22"/>
                <w:szCs w:val="22"/>
                <w:lang w:val="ro-RO"/>
              </w:rPr>
            </w:pPr>
          </w:p>
          <w:p w14:paraId="66C39661" w14:textId="77777777" w:rsidR="009E7F7A" w:rsidRDefault="003F39F8" w:rsidP="00FD1806">
            <w:pPr>
              <w:rPr>
                <w:sz w:val="22"/>
                <w:szCs w:val="22"/>
                <w:lang w:val="ro-RO"/>
              </w:rPr>
            </w:pPr>
            <w:r>
              <w:rPr>
                <w:sz w:val="22"/>
                <w:szCs w:val="22"/>
                <w:lang w:val="ro-RO"/>
              </w:rPr>
              <w:t>Pct.</w:t>
            </w:r>
          </w:p>
          <w:p w14:paraId="0024931C" w14:textId="3F8E69A8" w:rsidR="00D12139" w:rsidRDefault="003F39F8" w:rsidP="008608DA">
            <w:pPr>
              <w:rPr>
                <w:sz w:val="22"/>
                <w:szCs w:val="22"/>
                <w:lang w:val="ro-RO"/>
              </w:rPr>
            </w:pPr>
            <w:r>
              <w:rPr>
                <w:sz w:val="22"/>
                <w:szCs w:val="22"/>
                <w:lang w:val="ro-RO"/>
              </w:rPr>
              <w:t>433</w:t>
            </w:r>
            <w:r w:rsidR="009E7F7A">
              <w:rPr>
                <w:sz w:val="22"/>
                <w:szCs w:val="22"/>
                <w:vertAlign w:val="superscript"/>
                <w:lang w:val="ro-RO"/>
              </w:rPr>
              <w:t>149</w:t>
            </w:r>
          </w:p>
          <w:p w14:paraId="0E96744D" w14:textId="6619B40A" w:rsidR="003F39F8" w:rsidRPr="007B4B28" w:rsidRDefault="003F39F8" w:rsidP="00245F6F">
            <w:pPr>
              <w:rPr>
                <w:sz w:val="22"/>
                <w:szCs w:val="22"/>
                <w:lang w:val="ro-RO"/>
              </w:rPr>
            </w:pPr>
          </w:p>
        </w:tc>
        <w:tc>
          <w:tcPr>
            <w:tcW w:w="536" w:type="pct"/>
          </w:tcPr>
          <w:p w14:paraId="7C1E5AFD" w14:textId="77777777" w:rsidR="00004C82" w:rsidRDefault="00004C82" w:rsidP="00E80DB2">
            <w:pPr>
              <w:rPr>
                <w:sz w:val="22"/>
                <w:szCs w:val="22"/>
                <w:lang w:val="en-GB"/>
              </w:rPr>
            </w:pPr>
            <w:r w:rsidRPr="007B4B28">
              <w:rPr>
                <w:sz w:val="22"/>
                <w:szCs w:val="22"/>
                <w:lang w:val="en-GB"/>
              </w:rPr>
              <w:t>SA “Moldovagaz”</w:t>
            </w:r>
          </w:p>
          <w:p w14:paraId="173EC993" w14:textId="77777777" w:rsidR="00E967B5" w:rsidRDefault="00E967B5" w:rsidP="00575BB2">
            <w:pPr>
              <w:rPr>
                <w:sz w:val="22"/>
                <w:szCs w:val="22"/>
                <w:lang w:val="en-GB"/>
              </w:rPr>
            </w:pPr>
          </w:p>
          <w:p w14:paraId="008E43D2" w14:textId="77777777" w:rsidR="00E967B5" w:rsidRDefault="00E967B5" w:rsidP="0077698B">
            <w:pPr>
              <w:rPr>
                <w:sz w:val="22"/>
                <w:szCs w:val="22"/>
                <w:lang w:val="en-GB"/>
              </w:rPr>
            </w:pPr>
          </w:p>
          <w:p w14:paraId="504F9B44" w14:textId="77777777" w:rsidR="00E967B5" w:rsidRDefault="00E967B5" w:rsidP="0077698B">
            <w:pPr>
              <w:rPr>
                <w:sz w:val="22"/>
                <w:szCs w:val="22"/>
                <w:lang w:val="en-GB"/>
              </w:rPr>
            </w:pPr>
          </w:p>
          <w:p w14:paraId="29048869" w14:textId="54368EEA" w:rsidR="00E967B5" w:rsidRDefault="00E967B5" w:rsidP="004D7925">
            <w:pPr>
              <w:rPr>
                <w:sz w:val="22"/>
                <w:szCs w:val="22"/>
                <w:lang w:val="en-GB"/>
              </w:rPr>
            </w:pPr>
          </w:p>
          <w:p w14:paraId="28B70D34" w14:textId="77777777" w:rsidR="00E967B5" w:rsidRDefault="00E967B5" w:rsidP="00FB2036">
            <w:pPr>
              <w:rPr>
                <w:sz w:val="22"/>
                <w:szCs w:val="22"/>
                <w:lang w:val="en-GB"/>
              </w:rPr>
            </w:pPr>
          </w:p>
          <w:p w14:paraId="3CF86C77" w14:textId="26A96351" w:rsidR="00E967B5" w:rsidRPr="007B4B28" w:rsidRDefault="00E967B5" w:rsidP="005448F3">
            <w:pPr>
              <w:rPr>
                <w:sz w:val="22"/>
                <w:szCs w:val="22"/>
                <w:lang w:val="en-GB"/>
              </w:rPr>
            </w:pPr>
            <w:r>
              <w:rPr>
                <w:sz w:val="22"/>
                <w:szCs w:val="22"/>
                <w:lang w:val="en-GB"/>
              </w:rPr>
              <w:t>SRL Chișinău-gaz</w:t>
            </w:r>
          </w:p>
        </w:tc>
        <w:tc>
          <w:tcPr>
            <w:tcW w:w="1528" w:type="pct"/>
          </w:tcPr>
          <w:p w14:paraId="2165D771" w14:textId="0402E34A" w:rsidR="00004C82" w:rsidRPr="007B4B28" w:rsidRDefault="00004C82" w:rsidP="00AD5602">
            <w:pPr>
              <w:pStyle w:val="NormalWeb"/>
              <w:tabs>
                <w:tab w:val="left" w:pos="851"/>
              </w:tabs>
              <w:ind w:firstLine="0"/>
              <w:rPr>
                <w:bCs/>
                <w:color w:val="000000"/>
                <w:sz w:val="22"/>
                <w:szCs w:val="22"/>
                <w:lang w:val="ro-MD"/>
              </w:rPr>
            </w:pPr>
            <w:r w:rsidRPr="007B4B28">
              <w:rPr>
                <w:sz w:val="22"/>
                <w:szCs w:val="22"/>
                <w:lang w:val="ro-MD"/>
              </w:rPr>
              <w:t xml:space="preserve">OSD sunt responsabili cu punerea la dispoziția părții responsabile de prognozare a unor informații suficiente și actualizate, în scopul aplicării </w:t>
            </w:r>
            <w:r w:rsidRPr="007B4B28">
              <w:rPr>
                <w:i/>
                <w:sz w:val="22"/>
                <w:szCs w:val="22"/>
                <w:lang w:val="ro-MD"/>
              </w:rPr>
              <w:t>Metodologiei privind prognoza ieșirilor cu măsurare nonzilnică ale unui utilizator de sistem</w:t>
            </w:r>
            <w:r w:rsidRPr="007B4B28">
              <w:rPr>
                <w:sz w:val="22"/>
                <w:szCs w:val="22"/>
                <w:lang w:val="ro-MD"/>
              </w:rPr>
              <w:t>, astfel cum se stabilește în pct. 433</w:t>
            </w:r>
            <w:r w:rsidRPr="007B4B28">
              <w:rPr>
                <w:sz w:val="22"/>
                <w:szCs w:val="22"/>
                <w:vertAlign w:val="superscript"/>
                <w:lang w:val="ro-MD"/>
              </w:rPr>
              <w:t>151</w:t>
            </w:r>
            <w:r w:rsidRPr="007B4B28">
              <w:rPr>
                <w:sz w:val="22"/>
                <w:szCs w:val="22"/>
                <w:lang w:val="ro-MD"/>
              </w:rPr>
              <w:t>. Aceste informații sunt transmise în timp util, în conformitate cu termenele definite de partea responsabilă cu prognozele, pentru a fi conforme cu nevoile acesteia.</w:t>
            </w:r>
          </w:p>
        </w:tc>
        <w:tc>
          <w:tcPr>
            <w:tcW w:w="1537" w:type="pct"/>
          </w:tcPr>
          <w:p w14:paraId="59076DF4" w14:textId="45693576" w:rsidR="00004C82" w:rsidRPr="007B4B28" w:rsidRDefault="00004C82" w:rsidP="0046618F">
            <w:pPr>
              <w:tabs>
                <w:tab w:val="left" w:pos="0"/>
                <w:tab w:val="left" w:pos="851"/>
              </w:tabs>
              <w:jc w:val="both"/>
              <w:rPr>
                <w:sz w:val="22"/>
                <w:szCs w:val="22"/>
                <w:lang w:val="ro-RO"/>
              </w:rPr>
            </w:pPr>
            <w:r w:rsidRPr="007B4B28">
              <w:rPr>
                <w:sz w:val="22"/>
                <w:szCs w:val="22"/>
                <w:lang w:val="ro-RO"/>
              </w:rPr>
              <w:t>textul „</w:t>
            </w:r>
            <w:r w:rsidRPr="007B4B28">
              <w:rPr>
                <w:i/>
                <w:sz w:val="22"/>
                <w:szCs w:val="22"/>
                <w:lang w:val="ro-RO"/>
              </w:rPr>
              <w:t>Metodologiei privind prognoza ieșirilor cu măsurare nonzilnică ale unui utilizator de sistem</w:t>
            </w:r>
            <w:r w:rsidRPr="007B4B28">
              <w:rPr>
                <w:sz w:val="22"/>
                <w:szCs w:val="22"/>
                <w:lang w:val="ro-RO"/>
              </w:rPr>
              <w:t>” se va substitui cu textul</w:t>
            </w:r>
            <w:r w:rsidRPr="007B4B28">
              <w:rPr>
                <w:i/>
                <w:sz w:val="22"/>
                <w:szCs w:val="22"/>
                <w:lang w:val="ro-RO"/>
              </w:rPr>
              <w:t xml:space="preserve"> </w:t>
            </w:r>
            <w:r w:rsidRPr="007B4B28">
              <w:rPr>
                <w:sz w:val="22"/>
                <w:szCs w:val="22"/>
                <w:lang w:val="ro-RO"/>
              </w:rPr>
              <w:t>„</w:t>
            </w:r>
            <w:r w:rsidRPr="007B4B28">
              <w:rPr>
                <w:i/>
                <w:sz w:val="22"/>
                <w:szCs w:val="22"/>
                <w:lang w:val="ro-RO"/>
              </w:rPr>
              <w:t>Metodologiei pentru prognozarea consumului cu măsurare nonzilnică ale utilizatorilor de sistem</w:t>
            </w:r>
            <w:r w:rsidRPr="007B4B28">
              <w:rPr>
                <w:sz w:val="22"/>
                <w:szCs w:val="22"/>
                <w:lang w:val="ro-RO"/>
              </w:rPr>
              <w:t>”</w:t>
            </w:r>
            <w:r w:rsidRPr="007B4B28">
              <w:rPr>
                <w:i/>
                <w:sz w:val="22"/>
                <w:szCs w:val="22"/>
                <w:lang w:val="ro-RO"/>
              </w:rPr>
              <w:t>;</w:t>
            </w:r>
          </w:p>
          <w:p w14:paraId="28E1A85E" w14:textId="70174E4D" w:rsidR="00572BCC" w:rsidRDefault="00572BCC" w:rsidP="00714F77">
            <w:pPr>
              <w:tabs>
                <w:tab w:val="left" w:pos="0"/>
                <w:tab w:val="left" w:pos="851"/>
              </w:tabs>
              <w:jc w:val="both"/>
              <w:rPr>
                <w:sz w:val="22"/>
                <w:szCs w:val="22"/>
                <w:lang w:val="ro-RO"/>
              </w:rPr>
            </w:pPr>
          </w:p>
          <w:p w14:paraId="5C4774BD" w14:textId="77777777" w:rsidR="0041064B" w:rsidRDefault="0041064B" w:rsidP="008608DA">
            <w:pPr>
              <w:tabs>
                <w:tab w:val="left" w:pos="0"/>
                <w:tab w:val="left" w:pos="851"/>
              </w:tabs>
              <w:ind w:firstLine="567"/>
              <w:jc w:val="both"/>
              <w:rPr>
                <w:sz w:val="22"/>
                <w:szCs w:val="22"/>
                <w:lang w:val="ro-RO"/>
              </w:rPr>
            </w:pPr>
          </w:p>
          <w:p w14:paraId="5B06C518" w14:textId="68544FA8" w:rsidR="0041064B" w:rsidRPr="007B4B28" w:rsidRDefault="007B38A3" w:rsidP="00714F77">
            <w:pPr>
              <w:tabs>
                <w:tab w:val="left" w:pos="0"/>
                <w:tab w:val="left" w:pos="851"/>
              </w:tabs>
              <w:jc w:val="both"/>
              <w:rPr>
                <w:sz w:val="22"/>
                <w:szCs w:val="22"/>
                <w:lang w:val="ro-RO"/>
              </w:rPr>
            </w:pPr>
            <w:r>
              <w:rPr>
                <w:sz w:val="22"/>
                <w:szCs w:val="22"/>
                <w:lang w:val="ro-RO"/>
              </w:rPr>
              <w:t>De completat cu sintagma omisă</w:t>
            </w:r>
            <w:r>
              <w:rPr>
                <w:sz w:val="22"/>
                <w:szCs w:val="22"/>
                <w:lang w:val="en-US"/>
              </w:rPr>
              <w:t>;</w:t>
            </w:r>
            <w:r w:rsidRPr="007B38A3">
              <w:rPr>
                <w:i/>
                <w:sz w:val="22"/>
                <w:szCs w:val="22"/>
                <w:lang w:val="ro-RO"/>
              </w:rPr>
              <w:t xml:space="preserve"> </w:t>
            </w:r>
            <w:r>
              <w:rPr>
                <w:i/>
                <w:sz w:val="22"/>
                <w:szCs w:val="22"/>
                <w:lang w:val="ro-RO"/>
              </w:rPr>
              <w:t>Pct. 148 se aplică, mutatis mutandis, și variantei 1.</w:t>
            </w:r>
          </w:p>
        </w:tc>
        <w:tc>
          <w:tcPr>
            <w:cnfStyle w:val="000100000000" w:firstRow="0" w:lastRow="0" w:firstColumn="0" w:lastColumn="1" w:oddVBand="0" w:evenVBand="0" w:oddHBand="0" w:evenHBand="0" w:firstRowFirstColumn="0" w:firstRowLastColumn="0" w:lastRowFirstColumn="0" w:lastRowLastColumn="0"/>
            <w:tcW w:w="1060" w:type="pct"/>
          </w:tcPr>
          <w:p w14:paraId="2A787587" w14:textId="4179B815" w:rsidR="008608DA" w:rsidRDefault="008608DA" w:rsidP="008608DA">
            <w:pPr>
              <w:jc w:val="both"/>
              <w:rPr>
                <w:b w:val="0"/>
                <w:bCs w:val="0"/>
                <w:sz w:val="22"/>
                <w:szCs w:val="22"/>
                <w:lang w:val="ro-MD"/>
              </w:rPr>
            </w:pPr>
            <w:r>
              <w:rPr>
                <w:sz w:val="22"/>
                <w:szCs w:val="22"/>
                <w:lang w:val="ro-MD"/>
              </w:rPr>
              <w:t xml:space="preserve">Nu se acceptă, </w:t>
            </w:r>
            <w:r w:rsidRPr="00E613F1">
              <w:rPr>
                <w:b w:val="0"/>
                <w:bCs w:val="0"/>
                <w:sz w:val="22"/>
                <w:szCs w:val="22"/>
                <w:lang w:val="ro-MD"/>
              </w:rPr>
              <w:t xml:space="preserve"> </w:t>
            </w:r>
            <w:r w:rsidR="00335B29">
              <w:rPr>
                <w:b w:val="0"/>
                <w:bCs w:val="0"/>
                <w:sz w:val="22"/>
                <w:szCs w:val="22"/>
                <w:lang w:val="ro-MD"/>
              </w:rPr>
              <w:t>n</w:t>
            </w:r>
            <w:r w:rsidRPr="00E613F1">
              <w:rPr>
                <w:b w:val="0"/>
                <w:bCs w:val="0"/>
                <w:sz w:val="22"/>
                <w:szCs w:val="22"/>
                <w:lang w:val="ro-MD"/>
              </w:rPr>
              <w:t>u corespunde textului Regulamentului UE 312/2014.</w:t>
            </w:r>
          </w:p>
          <w:p w14:paraId="7597DE49" w14:textId="485DE20B" w:rsidR="009F3D29" w:rsidRDefault="009F3D29" w:rsidP="008608DA">
            <w:pPr>
              <w:jc w:val="both"/>
              <w:rPr>
                <w:b w:val="0"/>
                <w:bCs w:val="0"/>
                <w:sz w:val="22"/>
                <w:szCs w:val="22"/>
                <w:lang w:val="ro-MD"/>
              </w:rPr>
            </w:pPr>
          </w:p>
          <w:p w14:paraId="54B58B73" w14:textId="19A7105B" w:rsidR="009F3D29" w:rsidRPr="00E613F1" w:rsidRDefault="009F3D29" w:rsidP="008608DA">
            <w:pPr>
              <w:jc w:val="both"/>
              <w:rPr>
                <w:b w:val="0"/>
                <w:bCs w:val="0"/>
                <w:sz w:val="22"/>
                <w:szCs w:val="22"/>
                <w:lang w:val="ro-MD"/>
              </w:rPr>
            </w:pPr>
            <w:r>
              <w:rPr>
                <w:b w:val="0"/>
                <w:bCs w:val="0"/>
                <w:sz w:val="22"/>
                <w:szCs w:val="22"/>
                <w:lang w:val="ro-MD"/>
              </w:rPr>
              <w:t>(De pus in paranteza)</w:t>
            </w:r>
          </w:p>
          <w:p w14:paraId="0DF25AF0" w14:textId="77777777" w:rsidR="007B38A3" w:rsidRDefault="007B38A3" w:rsidP="008608DA">
            <w:pPr>
              <w:jc w:val="both"/>
              <w:rPr>
                <w:sz w:val="22"/>
                <w:szCs w:val="22"/>
                <w:lang w:val="ro-MD"/>
              </w:rPr>
            </w:pPr>
          </w:p>
          <w:p w14:paraId="444C5A41" w14:textId="77777777" w:rsidR="007B38A3" w:rsidRDefault="007B38A3" w:rsidP="00245F6F">
            <w:pPr>
              <w:jc w:val="both"/>
              <w:rPr>
                <w:sz w:val="22"/>
                <w:szCs w:val="22"/>
                <w:lang w:val="ro-MD"/>
              </w:rPr>
            </w:pPr>
          </w:p>
          <w:p w14:paraId="198C63F3" w14:textId="77777777" w:rsidR="007B38A3" w:rsidRDefault="007B38A3" w:rsidP="00E80DB2">
            <w:pPr>
              <w:jc w:val="both"/>
              <w:rPr>
                <w:sz w:val="22"/>
                <w:szCs w:val="22"/>
                <w:lang w:val="ro-MD"/>
              </w:rPr>
            </w:pPr>
          </w:p>
          <w:p w14:paraId="1DAC8BCA" w14:textId="77777777" w:rsidR="0037651C" w:rsidRDefault="0037651C" w:rsidP="0037651C">
            <w:pPr>
              <w:jc w:val="both"/>
              <w:rPr>
                <w:sz w:val="22"/>
                <w:szCs w:val="22"/>
                <w:lang w:val="ro-MD"/>
              </w:rPr>
            </w:pPr>
          </w:p>
          <w:p w14:paraId="2DC408A8" w14:textId="73479F06" w:rsidR="007B38A3" w:rsidRPr="007B4B28" w:rsidRDefault="003F39F8" w:rsidP="0037651C">
            <w:pPr>
              <w:jc w:val="both"/>
              <w:rPr>
                <w:sz w:val="22"/>
                <w:szCs w:val="22"/>
                <w:lang w:val="ro-MD"/>
              </w:rPr>
            </w:pPr>
            <w:r>
              <w:rPr>
                <w:sz w:val="22"/>
                <w:szCs w:val="22"/>
                <w:lang w:val="ro-MD"/>
              </w:rPr>
              <w:t>S</w:t>
            </w:r>
            <w:r w:rsidR="007B38A3">
              <w:rPr>
                <w:sz w:val="22"/>
                <w:szCs w:val="22"/>
                <w:lang w:val="ro-MD"/>
              </w:rPr>
              <w:t>e acceptă</w:t>
            </w:r>
          </w:p>
        </w:tc>
      </w:tr>
      <w:tr w:rsidR="00004C82" w:rsidRPr="00511A6A" w14:paraId="0E2186D7" w14:textId="77777777" w:rsidTr="001648D4">
        <w:trPr>
          <w:trHeight w:val="70"/>
        </w:trPr>
        <w:tc>
          <w:tcPr>
            <w:tcW w:w="339" w:type="pct"/>
          </w:tcPr>
          <w:p w14:paraId="3DA05AD8" w14:textId="5FCAD30D" w:rsidR="00004C82" w:rsidRPr="007B4B28" w:rsidRDefault="00004C82" w:rsidP="00BB1A04">
            <w:pPr>
              <w:rPr>
                <w:sz w:val="22"/>
                <w:szCs w:val="22"/>
                <w:lang w:val="ro-RO"/>
              </w:rPr>
            </w:pPr>
            <w:r w:rsidRPr="007B4B28">
              <w:rPr>
                <w:sz w:val="22"/>
                <w:szCs w:val="22"/>
                <w:lang w:val="ro-RO"/>
              </w:rPr>
              <w:t>Pct. 433</w:t>
            </w:r>
            <w:r w:rsidRPr="007B4B28">
              <w:rPr>
                <w:sz w:val="22"/>
                <w:szCs w:val="22"/>
                <w:vertAlign w:val="superscript"/>
                <w:lang w:val="ro-RO"/>
              </w:rPr>
              <w:t>151</w:t>
            </w:r>
          </w:p>
        </w:tc>
        <w:tc>
          <w:tcPr>
            <w:tcW w:w="536" w:type="pct"/>
          </w:tcPr>
          <w:p w14:paraId="4BC9EBA8" w14:textId="43E0D9D1" w:rsidR="00004C82" w:rsidRPr="007B4B28" w:rsidRDefault="00004C82" w:rsidP="00BB1A04">
            <w:pPr>
              <w:rPr>
                <w:sz w:val="22"/>
                <w:szCs w:val="22"/>
                <w:lang w:val="en-GB"/>
              </w:rPr>
            </w:pPr>
            <w:r w:rsidRPr="007B4B28">
              <w:rPr>
                <w:sz w:val="22"/>
                <w:szCs w:val="22"/>
                <w:lang w:val="en-GB"/>
              </w:rPr>
              <w:t>SA “Moldovagaz”</w:t>
            </w:r>
          </w:p>
        </w:tc>
        <w:tc>
          <w:tcPr>
            <w:tcW w:w="1528" w:type="pct"/>
          </w:tcPr>
          <w:p w14:paraId="1C62680C" w14:textId="7238DE5F" w:rsidR="00004C82" w:rsidRPr="007B4B28" w:rsidRDefault="00004C82" w:rsidP="00BB1A04">
            <w:pPr>
              <w:pStyle w:val="NormalWeb"/>
              <w:tabs>
                <w:tab w:val="left" w:pos="851"/>
              </w:tabs>
              <w:ind w:firstLine="0"/>
              <w:rPr>
                <w:bCs/>
                <w:color w:val="000000"/>
                <w:sz w:val="22"/>
                <w:szCs w:val="22"/>
                <w:lang w:val="ro-MD"/>
              </w:rPr>
            </w:pPr>
            <w:r w:rsidRPr="007B4B28">
              <w:rPr>
                <w:sz w:val="22"/>
                <w:szCs w:val="22"/>
                <w:lang w:val="ro-MD"/>
              </w:rPr>
              <w:t>Metodologia pentru prognozarea ieșirilor c</w:t>
            </w:r>
            <w:r w:rsidR="00A053CD">
              <w:rPr>
                <w:sz w:val="22"/>
                <w:szCs w:val="22"/>
                <w:lang w:val="ro-MD"/>
              </w:rPr>
              <w:t>u măsura</w:t>
            </w:r>
            <w:r w:rsidRPr="007B4B28">
              <w:rPr>
                <w:sz w:val="22"/>
                <w:szCs w:val="22"/>
                <w:lang w:val="ro-MD"/>
              </w:rPr>
              <w:t>re nonzilnică ale unui utilizator de sistem se bazează pe un model statistic al cererii, fiecărei ieșiri cu măsurare nonzilnică fiindu-i atribuit un profil de încărcare, constând dintr-o formulă a variației cererii de gaze naturale în raport cu variabile precum temperatura, ziua din săptămână, tipul de  și perioadele de vacanță. Înainte de adoptare, metodologia face obiectul unor consultări</w:t>
            </w:r>
          </w:p>
        </w:tc>
        <w:tc>
          <w:tcPr>
            <w:tcW w:w="1537" w:type="pct"/>
          </w:tcPr>
          <w:p w14:paraId="063E49F0" w14:textId="16770749" w:rsidR="00004C82" w:rsidRPr="007B4B28" w:rsidRDefault="00A053CD" w:rsidP="00335651">
            <w:pPr>
              <w:tabs>
                <w:tab w:val="left" w:pos="0"/>
                <w:tab w:val="left" w:pos="851"/>
              </w:tabs>
              <w:jc w:val="both"/>
              <w:rPr>
                <w:sz w:val="22"/>
                <w:szCs w:val="22"/>
                <w:lang w:val="ro-RO"/>
              </w:rPr>
            </w:pPr>
            <w:r>
              <w:rPr>
                <w:sz w:val="22"/>
                <w:szCs w:val="22"/>
                <w:lang w:val="ro-RO"/>
              </w:rPr>
              <w:t>D</w:t>
            </w:r>
            <w:r w:rsidR="00004C82" w:rsidRPr="007B4B28">
              <w:rPr>
                <w:sz w:val="22"/>
                <w:szCs w:val="22"/>
                <w:lang w:val="ro-RO"/>
              </w:rPr>
              <w:t>e a fi adus în con</w:t>
            </w:r>
            <w:r w:rsidR="005C287C">
              <w:rPr>
                <w:sz w:val="22"/>
                <w:szCs w:val="22"/>
                <w:lang w:val="ro-RO"/>
              </w:rPr>
              <w:t>cordanță cu pct. 113 din Reguli.</w:t>
            </w:r>
          </w:p>
        </w:tc>
        <w:tc>
          <w:tcPr>
            <w:cnfStyle w:val="000100000000" w:firstRow="0" w:lastRow="0" w:firstColumn="0" w:lastColumn="1" w:oddVBand="0" w:evenVBand="0" w:oddHBand="0" w:evenHBand="0" w:firstRowFirstColumn="0" w:firstRowLastColumn="0" w:lastRowFirstColumn="0" w:lastRowLastColumn="0"/>
            <w:tcW w:w="1060" w:type="pct"/>
          </w:tcPr>
          <w:p w14:paraId="1EA72ACC" w14:textId="4964CD2E" w:rsidR="00004C82" w:rsidRPr="007B4B28" w:rsidRDefault="00193A57" w:rsidP="00335B29">
            <w:pPr>
              <w:jc w:val="both"/>
              <w:rPr>
                <w:sz w:val="22"/>
                <w:szCs w:val="22"/>
                <w:lang w:val="ro-MD"/>
              </w:rPr>
            </w:pPr>
            <w:r>
              <w:rPr>
                <w:sz w:val="22"/>
                <w:szCs w:val="22"/>
                <w:lang w:val="ro-MD"/>
              </w:rPr>
              <w:t>Se acceptă</w:t>
            </w:r>
            <w:r w:rsidR="00335B29">
              <w:rPr>
                <w:sz w:val="22"/>
                <w:szCs w:val="22"/>
                <w:lang w:val="ro-MD"/>
              </w:rPr>
              <w:t xml:space="preserve">, </w:t>
            </w:r>
            <w:r w:rsidR="00335B29">
              <w:rPr>
                <w:b w:val="0"/>
                <w:bCs w:val="0"/>
                <w:sz w:val="22"/>
                <w:szCs w:val="22"/>
                <w:lang w:val="ro-MD"/>
              </w:rPr>
              <w:t>n</w:t>
            </w:r>
            <w:r w:rsidR="00335B29" w:rsidRPr="00E613F1">
              <w:rPr>
                <w:b w:val="0"/>
                <w:bCs w:val="0"/>
                <w:sz w:val="22"/>
                <w:szCs w:val="22"/>
                <w:lang w:val="ro-MD"/>
              </w:rPr>
              <w:t>u corespunde textului Regulamentului UE 312/2014.</w:t>
            </w:r>
          </w:p>
        </w:tc>
      </w:tr>
      <w:tr w:rsidR="00004C82" w:rsidRPr="007B4B28" w14:paraId="0E4FABFE" w14:textId="77777777" w:rsidTr="001648D4">
        <w:trPr>
          <w:trHeight w:val="70"/>
        </w:trPr>
        <w:tc>
          <w:tcPr>
            <w:tcW w:w="339" w:type="pct"/>
          </w:tcPr>
          <w:p w14:paraId="62C28ED0" w14:textId="10039CC6" w:rsidR="00004C82" w:rsidRPr="007B4B28" w:rsidRDefault="00004C82" w:rsidP="00BB1A04">
            <w:pPr>
              <w:rPr>
                <w:sz w:val="22"/>
                <w:szCs w:val="22"/>
                <w:lang w:val="ro-RO"/>
              </w:rPr>
            </w:pPr>
            <w:r w:rsidRPr="007B4B28">
              <w:rPr>
                <w:sz w:val="22"/>
                <w:szCs w:val="22"/>
                <w:lang w:val="ro-RO"/>
              </w:rPr>
              <w:t>Pct. 433</w:t>
            </w:r>
            <w:r w:rsidRPr="007B4B28">
              <w:rPr>
                <w:sz w:val="22"/>
                <w:szCs w:val="22"/>
                <w:vertAlign w:val="superscript"/>
                <w:lang w:val="ro-RO"/>
              </w:rPr>
              <w:t>186</w:t>
            </w:r>
            <w:r w:rsidRPr="007B4B28">
              <w:rPr>
                <w:sz w:val="22"/>
                <w:szCs w:val="22"/>
                <w:lang w:val="ro-RO"/>
              </w:rPr>
              <w:t xml:space="preserve">  </w:t>
            </w:r>
          </w:p>
        </w:tc>
        <w:tc>
          <w:tcPr>
            <w:tcW w:w="536" w:type="pct"/>
          </w:tcPr>
          <w:p w14:paraId="5CEDAEBB" w14:textId="68C43011" w:rsidR="00004C82" w:rsidRPr="007B4B28" w:rsidRDefault="00004C82" w:rsidP="00BB1A04">
            <w:pPr>
              <w:rPr>
                <w:sz w:val="22"/>
                <w:szCs w:val="22"/>
                <w:lang w:val="en-GB"/>
              </w:rPr>
            </w:pPr>
            <w:r w:rsidRPr="007B4B28">
              <w:rPr>
                <w:sz w:val="22"/>
                <w:szCs w:val="22"/>
                <w:lang w:val="en-GB"/>
              </w:rPr>
              <w:t>SA “Moldovagaz”</w:t>
            </w:r>
          </w:p>
        </w:tc>
        <w:tc>
          <w:tcPr>
            <w:tcW w:w="1528" w:type="pct"/>
          </w:tcPr>
          <w:p w14:paraId="4F90711E" w14:textId="77777777" w:rsidR="00004C82" w:rsidRPr="007B4B28" w:rsidRDefault="00004C82" w:rsidP="00BB1A04">
            <w:pPr>
              <w:jc w:val="both"/>
              <w:rPr>
                <w:sz w:val="22"/>
                <w:szCs w:val="22"/>
                <w:lang w:val="ro-MD"/>
              </w:rPr>
            </w:pPr>
            <w:r w:rsidRPr="007B4B28">
              <w:rPr>
                <w:sz w:val="22"/>
                <w:szCs w:val="22"/>
                <w:lang w:val="ro-MD"/>
              </w:rPr>
              <w:t xml:space="preserve">Nivelul de toleranță poate include o componentă calculată luând în considerare aplicarea devierii </w:t>
            </w:r>
            <w:r w:rsidRPr="007B4B28">
              <w:rPr>
                <w:sz w:val="22"/>
                <w:szCs w:val="22"/>
                <w:lang w:val="ro-MD"/>
              </w:rPr>
              <w:lastRenderedPageBreak/>
              <w:t>prognozei privind ieșirile cu măsurare nonzilnică ale unui utilizator de sistem, care reprezintă suma prin care prognoza relevantă:</w:t>
            </w:r>
          </w:p>
          <w:p w14:paraId="73505D6B" w14:textId="77777777" w:rsidR="00004C82" w:rsidRPr="007B4B28" w:rsidRDefault="00004C82" w:rsidP="00335651">
            <w:pPr>
              <w:jc w:val="both"/>
              <w:rPr>
                <w:sz w:val="22"/>
                <w:szCs w:val="22"/>
                <w:lang w:val="ro-MD"/>
              </w:rPr>
            </w:pPr>
            <w:r w:rsidRPr="007B4B28">
              <w:rPr>
                <w:sz w:val="22"/>
                <w:szCs w:val="22"/>
                <w:lang w:val="ro-MD"/>
              </w:rPr>
              <w:t>1) depășește alocarea pentru ieșirea contorizată cu o frecvență care nu este zilnică în cazul în care cantitatea de dezechilibru zilnic este pozitivă;</w:t>
            </w:r>
          </w:p>
          <w:p w14:paraId="25552EBA" w14:textId="6D1CC3AF" w:rsidR="00004C82" w:rsidRPr="007B4B28" w:rsidRDefault="00004C82" w:rsidP="0080755D">
            <w:pPr>
              <w:pStyle w:val="NormalWeb"/>
              <w:tabs>
                <w:tab w:val="left" w:pos="851"/>
              </w:tabs>
              <w:ind w:firstLine="0"/>
              <w:rPr>
                <w:bCs/>
                <w:color w:val="000000"/>
                <w:sz w:val="22"/>
                <w:szCs w:val="22"/>
                <w:lang w:val="ro-MD"/>
              </w:rPr>
            </w:pPr>
            <w:r w:rsidRPr="007B4B28">
              <w:rPr>
                <w:sz w:val="22"/>
                <w:szCs w:val="22"/>
                <w:lang w:val="ro-MD"/>
              </w:rPr>
              <w:t>2) este mai mică decât alocarea pentru ieșirea contorizată cu o frecvență care nu este zilnică în cazul în care cantitatea de dezechilibru zilnic este negativă.</w:t>
            </w:r>
          </w:p>
        </w:tc>
        <w:tc>
          <w:tcPr>
            <w:tcW w:w="1537" w:type="pct"/>
          </w:tcPr>
          <w:p w14:paraId="27BAD996" w14:textId="758D7040" w:rsidR="00004C82" w:rsidRPr="00511A6A" w:rsidRDefault="00004C82" w:rsidP="008A3E25">
            <w:pPr>
              <w:tabs>
                <w:tab w:val="left" w:pos="0"/>
                <w:tab w:val="left" w:pos="851"/>
              </w:tabs>
              <w:jc w:val="both"/>
              <w:rPr>
                <w:sz w:val="22"/>
                <w:szCs w:val="22"/>
                <w:lang w:val="ro-RO"/>
              </w:rPr>
            </w:pPr>
            <w:r w:rsidRPr="00511A6A">
              <w:rPr>
                <w:sz w:val="22"/>
                <w:szCs w:val="22"/>
                <w:lang w:val="ro-RO"/>
              </w:rPr>
              <w:lastRenderedPageBreak/>
              <w:t>subpct. 1) și subpct. 2) textul „</w:t>
            </w:r>
            <w:r w:rsidRPr="00511A6A">
              <w:rPr>
                <w:i/>
                <w:sz w:val="22"/>
                <w:szCs w:val="22"/>
                <w:lang w:val="ro-RO"/>
              </w:rPr>
              <w:t>ieșirea contorizată cu o frecvență care nu este zilnică</w:t>
            </w:r>
            <w:r w:rsidRPr="00511A6A">
              <w:rPr>
                <w:sz w:val="22"/>
                <w:szCs w:val="22"/>
                <w:lang w:val="ro-RO"/>
              </w:rPr>
              <w:t xml:space="preserve">” </w:t>
            </w:r>
            <w:r w:rsidRPr="00511A6A">
              <w:rPr>
                <w:sz w:val="22"/>
                <w:szCs w:val="22"/>
                <w:lang w:val="ro-RO"/>
              </w:rPr>
              <w:lastRenderedPageBreak/>
              <w:t>de substituit cu textul „</w:t>
            </w:r>
            <w:r w:rsidRPr="00511A6A">
              <w:rPr>
                <w:i/>
                <w:sz w:val="22"/>
                <w:szCs w:val="22"/>
                <w:lang w:val="ro-RO"/>
              </w:rPr>
              <w:t>consumul</w:t>
            </w:r>
            <w:r w:rsidRPr="00511A6A">
              <w:rPr>
                <w:sz w:val="22"/>
                <w:szCs w:val="22"/>
                <w:lang w:val="ro-RO"/>
              </w:rPr>
              <w:t xml:space="preserve"> </w:t>
            </w:r>
            <w:r w:rsidRPr="00511A6A">
              <w:rPr>
                <w:i/>
                <w:sz w:val="22"/>
                <w:szCs w:val="22"/>
                <w:lang w:val="ro-RO"/>
              </w:rPr>
              <w:t>cu măsurare nonzilnică</w:t>
            </w:r>
            <w:r w:rsidRPr="00511A6A">
              <w:rPr>
                <w:sz w:val="22"/>
                <w:szCs w:val="22"/>
                <w:lang w:val="ro-RO"/>
              </w:rPr>
              <w:t>”;</w:t>
            </w:r>
          </w:p>
          <w:p w14:paraId="4FEE5389" w14:textId="77777777" w:rsidR="00004C82" w:rsidRPr="00511A6A" w:rsidRDefault="00004C82" w:rsidP="00C45E6F">
            <w:pPr>
              <w:tabs>
                <w:tab w:val="left" w:pos="0"/>
                <w:tab w:val="left" w:pos="851"/>
              </w:tabs>
              <w:ind w:firstLine="567"/>
              <w:jc w:val="both"/>
              <w:rPr>
                <w:sz w:val="22"/>
                <w:szCs w:val="22"/>
                <w:lang w:val="ro-RO"/>
              </w:rPr>
            </w:pPr>
          </w:p>
        </w:tc>
        <w:tc>
          <w:tcPr>
            <w:cnfStyle w:val="000100000000" w:firstRow="0" w:lastRow="0" w:firstColumn="0" w:lastColumn="1" w:oddVBand="0" w:evenVBand="0" w:oddHBand="0" w:evenHBand="0" w:firstRowFirstColumn="0" w:firstRowLastColumn="0" w:lastRowFirstColumn="0" w:lastRowLastColumn="0"/>
            <w:tcW w:w="1060" w:type="pct"/>
          </w:tcPr>
          <w:p w14:paraId="050790EE" w14:textId="4E88FDC4" w:rsidR="00004C82" w:rsidRPr="00511A6A" w:rsidRDefault="00335B29" w:rsidP="00335B29">
            <w:pPr>
              <w:jc w:val="both"/>
              <w:rPr>
                <w:sz w:val="22"/>
                <w:szCs w:val="22"/>
                <w:lang w:val="ro-MD"/>
              </w:rPr>
            </w:pPr>
            <w:r w:rsidRPr="00511A6A">
              <w:rPr>
                <w:sz w:val="22"/>
                <w:szCs w:val="22"/>
                <w:lang w:val="ro-MD"/>
              </w:rPr>
              <w:lastRenderedPageBreak/>
              <w:t>Nu se acceptă.</w:t>
            </w:r>
          </w:p>
        </w:tc>
      </w:tr>
      <w:tr w:rsidR="00004C82" w:rsidRPr="00AF2B0C" w14:paraId="099EC75F" w14:textId="77777777" w:rsidTr="001648D4">
        <w:trPr>
          <w:trHeight w:val="70"/>
        </w:trPr>
        <w:tc>
          <w:tcPr>
            <w:tcW w:w="339" w:type="pct"/>
          </w:tcPr>
          <w:p w14:paraId="57586A57" w14:textId="1BDAFC75" w:rsidR="00004C82" w:rsidRPr="00F55E36" w:rsidRDefault="00F55E36" w:rsidP="00BB1A04">
            <w:pPr>
              <w:rPr>
                <w:sz w:val="22"/>
                <w:szCs w:val="22"/>
                <w:lang w:val="ro-RO"/>
              </w:rPr>
            </w:pPr>
            <w:r w:rsidRPr="007B4B28">
              <w:rPr>
                <w:sz w:val="22"/>
                <w:szCs w:val="22"/>
                <w:lang w:val="ro-RO"/>
              </w:rPr>
              <w:lastRenderedPageBreak/>
              <w:t>Pct. 433</w:t>
            </w:r>
            <w:r>
              <w:rPr>
                <w:sz w:val="22"/>
                <w:szCs w:val="22"/>
                <w:vertAlign w:val="superscript"/>
                <w:lang w:val="ro-RO"/>
              </w:rPr>
              <w:t xml:space="preserve">99 </w:t>
            </w:r>
            <w:r>
              <w:rPr>
                <w:sz w:val="22"/>
                <w:szCs w:val="22"/>
                <w:lang w:val="ro-RO"/>
              </w:rPr>
              <w:t>…..</w:t>
            </w:r>
          </w:p>
        </w:tc>
        <w:tc>
          <w:tcPr>
            <w:tcW w:w="536" w:type="pct"/>
          </w:tcPr>
          <w:p w14:paraId="75F47D58" w14:textId="7EDDB122" w:rsidR="00004C82" w:rsidRPr="007B4B28" w:rsidRDefault="00004C82" w:rsidP="00BB1A04">
            <w:pPr>
              <w:rPr>
                <w:sz w:val="22"/>
                <w:szCs w:val="22"/>
                <w:lang w:val="en-GB"/>
              </w:rPr>
            </w:pPr>
            <w:r w:rsidRPr="007B4B28">
              <w:rPr>
                <w:sz w:val="22"/>
                <w:szCs w:val="22"/>
                <w:lang w:val="en-GB"/>
              </w:rPr>
              <w:t>SA “Moldovagaz”</w:t>
            </w:r>
          </w:p>
        </w:tc>
        <w:tc>
          <w:tcPr>
            <w:tcW w:w="1528" w:type="pct"/>
          </w:tcPr>
          <w:p w14:paraId="3F798ED5" w14:textId="3A973692" w:rsidR="00004C82" w:rsidRPr="00F55E36" w:rsidRDefault="00F55E36" w:rsidP="00BB1A04">
            <w:pPr>
              <w:pStyle w:val="NormalWeb"/>
              <w:tabs>
                <w:tab w:val="left" w:pos="851"/>
              </w:tabs>
              <w:ind w:firstLine="0"/>
              <w:rPr>
                <w:bCs/>
                <w:color w:val="000000"/>
                <w:sz w:val="22"/>
                <w:szCs w:val="22"/>
                <w:lang w:val="ro-MD"/>
              </w:rPr>
            </w:pPr>
            <w:r w:rsidRPr="00F55E36">
              <w:rPr>
                <w:sz w:val="22"/>
                <w:szCs w:val="22"/>
                <w:lang w:val="ro-MD"/>
              </w:rPr>
              <w:t>OST prezintă recomandarea Agenției pentru aprobarea propunerii în conformitate cu procedura stabilită la punctele 433</w:t>
            </w:r>
            <w:r w:rsidRPr="00F55E36">
              <w:rPr>
                <w:sz w:val="22"/>
                <w:szCs w:val="22"/>
                <w:vertAlign w:val="superscript"/>
                <w:lang w:val="ro-MD"/>
              </w:rPr>
              <w:t>100</w:t>
            </w:r>
            <w:r w:rsidRPr="00F55E36">
              <w:rPr>
                <w:sz w:val="22"/>
                <w:szCs w:val="22"/>
                <w:lang w:val="ro-MD"/>
              </w:rPr>
              <w:t>-433</w:t>
            </w:r>
            <w:r w:rsidRPr="00F55E36">
              <w:rPr>
                <w:sz w:val="22"/>
                <w:szCs w:val="22"/>
                <w:vertAlign w:val="superscript"/>
                <w:lang w:val="ro-MD"/>
              </w:rPr>
              <w:t>101</w:t>
            </w:r>
            <w:r w:rsidRPr="00F55E36">
              <w:rPr>
                <w:sz w:val="22"/>
                <w:szCs w:val="22"/>
                <w:lang w:val="ro-MD"/>
              </w:rPr>
              <w:t>. În paralel, OST publică această recomandare, sub rezerva obligațiilor de confidențialitate pe care este posibil să trebuiască să le respecte.</w:t>
            </w:r>
            <w:r>
              <w:rPr>
                <w:sz w:val="22"/>
                <w:szCs w:val="22"/>
                <w:lang w:val="ro-MD"/>
              </w:rPr>
              <w:t xml:space="preserve"> ....</w:t>
            </w:r>
          </w:p>
        </w:tc>
        <w:tc>
          <w:tcPr>
            <w:tcW w:w="1537" w:type="pct"/>
          </w:tcPr>
          <w:p w14:paraId="3BCA44CD" w14:textId="77777777" w:rsidR="00AF2B0C" w:rsidRDefault="00004C82" w:rsidP="00335651">
            <w:pPr>
              <w:tabs>
                <w:tab w:val="left" w:pos="0"/>
                <w:tab w:val="left" w:pos="851"/>
              </w:tabs>
              <w:jc w:val="both"/>
              <w:rPr>
                <w:sz w:val="22"/>
                <w:szCs w:val="22"/>
                <w:lang w:val="ro-RO"/>
              </w:rPr>
            </w:pPr>
            <w:r w:rsidRPr="007B4B28">
              <w:rPr>
                <w:sz w:val="22"/>
                <w:szCs w:val="22"/>
                <w:lang w:val="ro-RO"/>
              </w:rPr>
              <w:t>Conținutul</w:t>
            </w:r>
            <w:r w:rsidR="0034543C">
              <w:rPr>
                <w:sz w:val="22"/>
                <w:szCs w:val="22"/>
                <w:lang w:val="ro-RO"/>
              </w:rPr>
              <w:t>: P</w:t>
            </w:r>
            <w:r w:rsidRPr="007B4B28">
              <w:rPr>
                <w:sz w:val="22"/>
                <w:szCs w:val="22"/>
                <w:lang w:val="ro-RO"/>
              </w:rPr>
              <w:t>ct. 433</w:t>
            </w:r>
            <w:r w:rsidRPr="007B4B28">
              <w:rPr>
                <w:sz w:val="22"/>
                <w:szCs w:val="22"/>
                <w:vertAlign w:val="superscript"/>
                <w:lang w:val="ro-RO"/>
              </w:rPr>
              <w:t>99</w:t>
            </w:r>
            <w:r w:rsidRPr="007B4B28">
              <w:rPr>
                <w:sz w:val="22"/>
                <w:szCs w:val="22"/>
                <w:lang w:val="ro-RO"/>
              </w:rPr>
              <w:t>,</w:t>
            </w:r>
            <w:r w:rsidR="0079196D">
              <w:rPr>
                <w:sz w:val="22"/>
                <w:szCs w:val="22"/>
                <w:lang w:val="ro-RO"/>
              </w:rPr>
              <w:t xml:space="preserve"> fraza –</w:t>
            </w:r>
            <w:r w:rsidR="0034543C">
              <w:rPr>
                <w:sz w:val="22"/>
                <w:szCs w:val="22"/>
                <w:lang w:val="ro-RO"/>
              </w:rPr>
              <w:t xml:space="preserve"> sub rezerva </w:t>
            </w:r>
            <w:r w:rsidR="0079196D">
              <w:rPr>
                <w:sz w:val="22"/>
                <w:szCs w:val="22"/>
                <w:lang w:val="ro-RO"/>
              </w:rPr>
              <w:t>obligațiunilor de confidențialitate pe care poate fi posibil să tr</w:t>
            </w:r>
            <w:r w:rsidR="0034543C">
              <w:rPr>
                <w:sz w:val="22"/>
                <w:szCs w:val="22"/>
                <w:lang w:val="ro-RO"/>
              </w:rPr>
              <w:t>e</w:t>
            </w:r>
            <w:r w:rsidR="0079196D">
              <w:rPr>
                <w:sz w:val="22"/>
                <w:szCs w:val="22"/>
                <w:lang w:val="ro-RO"/>
              </w:rPr>
              <w:t>buiască să le respecte</w:t>
            </w:r>
            <w:r w:rsidR="0034543C">
              <w:rPr>
                <w:sz w:val="22"/>
                <w:szCs w:val="22"/>
                <w:lang w:val="ro-RO"/>
              </w:rPr>
              <w:t xml:space="preserve">, se substituie cu fraza – sub rezerva, pasibilă respectării, a obligațiunilor de confidențialitate., </w:t>
            </w:r>
            <w:r w:rsidR="0034543C" w:rsidRPr="00DA769B">
              <w:rPr>
                <w:sz w:val="22"/>
                <w:szCs w:val="22"/>
                <w:lang w:val="ro-RO"/>
              </w:rPr>
              <w:t>P</w:t>
            </w:r>
            <w:r w:rsidRPr="00DA769B">
              <w:rPr>
                <w:sz w:val="22"/>
                <w:szCs w:val="22"/>
                <w:lang w:val="ro-RO"/>
              </w:rPr>
              <w:t>ct. 433</w:t>
            </w:r>
            <w:r w:rsidRPr="00DA769B">
              <w:rPr>
                <w:sz w:val="22"/>
                <w:szCs w:val="22"/>
                <w:vertAlign w:val="superscript"/>
                <w:lang w:val="ro-RO"/>
              </w:rPr>
              <w:t>102</w:t>
            </w:r>
            <w:r w:rsidRPr="00DA769B">
              <w:rPr>
                <w:sz w:val="22"/>
                <w:szCs w:val="22"/>
                <w:lang w:val="ro-RO"/>
              </w:rPr>
              <w:t>,</w:t>
            </w:r>
            <w:r w:rsidR="0034543C" w:rsidRPr="00DA769B">
              <w:rPr>
                <w:sz w:val="22"/>
                <w:szCs w:val="22"/>
                <w:lang w:val="ro-RO"/>
              </w:rPr>
              <w:t xml:space="preserve">  P</w:t>
            </w:r>
            <w:r w:rsidRPr="00DA769B">
              <w:rPr>
                <w:sz w:val="22"/>
                <w:szCs w:val="22"/>
                <w:lang w:val="ro-RO"/>
              </w:rPr>
              <w:t>ct. 433</w:t>
            </w:r>
            <w:r w:rsidRPr="00DA769B">
              <w:rPr>
                <w:sz w:val="22"/>
                <w:szCs w:val="22"/>
                <w:vertAlign w:val="superscript"/>
                <w:lang w:val="ro-RO"/>
              </w:rPr>
              <w:t>120</w:t>
            </w:r>
            <w:r w:rsidR="0034543C" w:rsidRPr="00DA769B">
              <w:rPr>
                <w:sz w:val="22"/>
                <w:szCs w:val="22"/>
                <w:lang w:val="ro-RO"/>
              </w:rPr>
              <w:t>, P</w:t>
            </w:r>
            <w:r w:rsidRPr="00DA769B">
              <w:rPr>
                <w:sz w:val="22"/>
                <w:szCs w:val="22"/>
                <w:lang w:val="ro-RO"/>
              </w:rPr>
              <w:t>ct. 433</w:t>
            </w:r>
            <w:r w:rsidRPr="00DA769B">
              <w:rPr>
                <w:sz w:val="22"/>
                <w:szCs w:val="22"/>
                <w:vertAlign w:val="superscript"/>
                <w:lang w:val="ro-RO"/>
              </w:rPr>
              <w:t>139</w:t>
            </w:r>
            <w:r w:rsidR="0034543C" w:rsidRPr="00DA769B">
              <w:rPr>
                <w:sz w:val="22"/>
                <w:szCs w:val="22"/>
                <w:lang w:val="ro-RO"/>
              </w:rPr>
              <w:t>, P</w:t>
            </w:r>
            <w:r w:rsidRPr="00DA769B">
              <w:rPr>
                <w:sz w:val="22"/>
                <w:szCs w:val="22"/>
                <w:lang w:val="ro-RO"/>
              </w:rPr>
              <w:t>ct. 433</w:t>
            </w:r>
            <w:r w:rsidRPr="00DA769B">
              <w:rPr>
                <w:sz w:val="22"/>
                <w:szCs w:val="22"/>
                <w:vertAlign w:val="superscript"/>
                <w:lang w:val="ro-RO"/>
              </w:rPr>
              <w:t xml:space="preserve">146 </w:t>
            </w:r>
            <w:r w:rsidRPr="00DA769B">
              <w:rPr>
                <w:sz w:val="22"/>
                <w:szCs w:val="22"/>
                <w:lang w:val="ro-RO"/>
              </w:rPr>
              <w:t>,</w:t>
            </w:r>
            <w:r w:rsidR="0034543C" w:rsidRPr="00DA769B">
              <w:rPr>
                <w:sz w:val="22"/>
                <w:szCs w:val="22"/>
                <w:lang w:val="ro-RO"/>
              </w:rPr>
              <w:t xml:space="preserve"> -</w:t>
            </w:r>
            <w:r w:rsidR="00AF2B0C" w:rsidRPr="00DA769B">
              <w:rPr>
                <w:sz w:val="22"/>
                <w:szCs w:val="22"/>
                <w:lang w:val="ro-RO"/>
              </w:rPr>
              <w:t xml:space="preserve"> este necesar a fi redactate.</w:t>
            </w:r>
          </w:p>
          <w:p w14:paraId="4CA03242" w14:textId="77777777" w:rsidR="00AF2B0C" w:rsidRDefault="00AF2B0C" w:rsidP="0080755D">
            <w:pPr>
              <w:tabs>
                <w:tab w:val="left" w:pos="0"/>
                <w:tab w:val="left" w:pos="851"/>
              </w:tabs>
              <w:jc w:val="both"/>
              <w:rPr>
                <w:sz w:val="22"/>
                <w:szCs w:val="22"/>
                <w:lang w:val="ro-RO"/>
              </w:rPr>
            </w:pPr>
            <w:r>
              <w:rPr>
                <w:sz w:val="22"/>
                <w:szCs w:val="22"/>
                <w:lang w:val="ro-RO"/>
              </w:rPr>
              <w:t xml:space="preserve"> P</w:t>
            </w:r>
            <w:r w:rsidR="00004C82" w:rsidRPr="007B4B28">
              <w:rPr>
                <w:sz w:val="22"/>
                <w:szCs w:val="22"/>
                <w:lang w:val="ro-RO"/>
              </w:rPr>
              <w:t>ct. 433</w:t>
            </w:r>
            <w:r w:rsidR="00004C82" w:rsidRPr="007B4B28">
              <w:rPr>
                <w:sz w:val="22"/>
                <w:szCs w:val="22"/>
                <w:vertAlign w:val="superscript"/>
                <w:lang w:val="ro-RO"/>
              </w:rPr>
              <w:t>170</w:t>
            </w:r>
            <w:r w:rsidR="00004C82" w:rsidRPr="007B4B28">
              <w:rPr>
                <w:sz w:val="22"/>
                <w:szCs w:val="22"/>
                <w:lang w:val="ro-RO"/>
              </w:rPr>
              <w:t xml:space="preserve"> </w:t>
            </w:r>
            <w:r>
              <w:rPr>
                <w:sz w:val="22"/>
                <w:szCs w:val="22"/>
                <w:lang w:val="ro-RO"/>
              </w:rPr>
              <w:t xml:space="preserve">fraza -  prezintă raportul Agenției spre aprobare, se substituie cu fraza – prezintă raportul spre aprobare Agenției.  </w:t>
            </w:r>
          </w:p>
          <w:p w14:paraId="35695094" w14:textId="0E1A6D8E" w:rsidR="00004C82" w:rsidRPr="007B4B28" w:rsidRDefault="00AF2B0C" w:rsidP="008A3E25">
            <w:pPr>
              <w:tabs>
                <w:tab w:val="left" w:pos="0"/>
                <w:tab w:val="left" w:pos="851"/>
              </w:tabs>
              <w:jc w:val="both"/>
              <w:rPr>
                <w:sz w:val="22"/>
                <w:szCs w:val="22"/>
                <w:lang w:val="ro-RO"/>
              </w:rPr>
            </w:pPr>
            <w:r>
              <w:rPr>
                <w:sz w:val="22"/>
                <w:szCs w:val="22"/>
                <w:lang w:val="ro-RO"/>
              </w:rPr>
              <w:t xml:space="preserve"> P</w:t>
            </w:r>
            <w:r w:rsidR="00004C82" w:rsidRPr="007B4B28">
              <w:rPr>
                <w:sz w:val="22"/>
                <w:szCs w:val="22"/>
                <w:lang w:val="ro-RO"/>
              </w:rPr>
              <w:t>ct. 433</w:t>
            </w:r>
            <w:r w:rsidR="00004C82" w:rsidRPr="007B4B28">
              <w:rPr>
                <w:sz w:val="22"/>
                <w:szCs w:val="22"/>
                <w:vertAlign w:val="superscript"/>
                <w:lang w:val="ro-RO"/>
              </w:rPr>
              <w:t>187</w:t>
            </w:r>
            <w:r w:rsidR="00004C82" w:rsidRPr="007B4B28">
              <w:rPr>
                <w:sz w:val="22"/>
                <w:szCs w:val="22"/>
                <w:lang w:val="ro-RO"/>
              </w:rPr>
              <w:t xml:space="preserve"> </w:t>
            </w:r>
            <w:r>
              <w:rPr>
                <w:sz w:val="22"/>
                <w:szCs w:val="22"/>
                <w:lang w:val="ro-RO"/>
              </w:rPr>
              <w:t xml:space="preserve"> fraza - OST vizează să reducă; </w:t>
            </w:r>
            <w:r w:rsidR="00004C82" w:rsidRPr="007B4B28">
              <w:rPr>
                <w:sz w:val="22"/>
                <w:szCs w:val="22"/>
                <w:lang w:val="ro-RO"/>
              </w:rPr>
              <w:t>este necesar de a fi redactat</w:t>
            </w:r>
            <w:r>
              <w:rPr>
                <w:sz w:val="22"/>
                <w:szCs w:val="22"/>
                <w:lang w:val="ro-RO"/>
              </w:rPr>
              <w:t>ă – OST certifică prin viză reducerea</w:t>
            </w:r>
            <w:r w:rsidR="00004C82" w:rsidRPr="007B4B28">
              <w:rPr>
                <w:sz w:val="22"/>
                <w:szCs w:val="22"/>
                <w:lang w:val="ro-RO"/>
              </w:rPr>
              <w:t>;</w:t>
            </w:r>
          </w:p>
        </w:tc>
        <w:tc>
          <w:tcPr>
            <w:cnfStyle w:val="000100000000" w:firstRow="0" w:lastRow="0" w:firstColumn="0" w:lastColumn="1" w:oddVBand="0" w:evenVBand="0" w:oddHBand="0" w:evenHBand="0" w:firstRowFirstColumn="0" w:firstRowLastColumn="0" w:lastRowFirstColumn="0" w:lastRowLastColumn="0"/>
            <w:tcW w:w="1060" w:type="pct"/>
          </w:tcPr>
          <w:p w14:paraId="5490D902" w14:textId="3167B015" w:rsidR="00AF2B0C" w:rsidRDefault="00AF2B0C" w:rsidP="00395552">
            <w:pPr>
              <w:jc w:val="both"/>
              <w:rPr>
                <w:sz w:val="22"/>
                <w:szCs w:val="22"/>
                <w:lang w:val="ro-MD"/>
              </w:rPr>
            </w:pPr>
          </w:p>
          <w:p w14:paraId="2E417F1F" w14:textId="1F3F2590" w:rsidR="00004C82" w:rsidRDefault="00193A57" w:rsidP="00395552">
            <w:pPr>
              <w:jc w:val="both"/>
              <w:rPr>
                <w:sz w:val="22"/>
                <w:szCs w:val="22"/>
                <w:lang w:val="ro-MD"/>
              </w:rPr>
            </w:pPr>
            <w:r>
              <w:rPr>
                <w:sz w:val="22"/>
                <w:szCs w:val="22"/>
                <w:lang w:val="ro-MD"/>
              </w:rPr>
              <w:t>Se acceptă</w:t>
            </w:r>
          </w:p>
          <w:p w14:paraId="6F02D5B8" w14:textId="77777777" w:rsidR="00AF2B0C" w:rsidRDefault="00AF2B0C" w:rsidP="00EF13E1">
            <w:pPr>
              <w:jc w:val="both"/>
              <w:rPr>
                <w:sz w:val="22"/>
                <w:szCs w:val="22"/>
                <w:lang w:val="ro-MD"/>
              </w:rPr>
            </w:pPr>
          </w:p>
          <w:p w14:paraId="3FF65FE9" w14:textId="77777777" w:rsidR="00AF2B0C" w:rsidRDefault="00AF2B0C" w:rsidP="00FD1806">
            <w:pPr>
              <w:jc w:val="both"/>
              <w:rPr>
                <w:sz w:val="22"/>
                <w:szCs w:val="22"/>
                <w:lang w:val="ro-MD"/>
              </w:rPr>
            </w:pPr>
          </w:p>
          <w:p w14:paraId="57DFBDDC" w14:textId="02DA3ED3" w:rsidR="00AF2B0C" w:rsidRDefault="00DA769B" w:rsidP="00DA769B">
            <w:pPr>
              <w:jc w:val="both"/>
              <w:rPr>
                <w:sz w:val="22"/>
                <w:szCs w:val="22"/>
                <w:lang w:val="ro-MD"/>
              </w:rPr>
            </w:pPr>
            <w:r>
              <w:rPr>
                <w:sz w:val="22"/>
                <w:szCs w:val="22"/>
                <w:lang w:val="ro-MD"/>
              </w:rPr>
              <w:t>Se</w:t>
            </w:r>
            <w:r w:rsidR="00AF2B0C">
              <w:rPr>
                <w:sz w:val="22"/>
                <w:szCs w:val="22"/>
                <w:lang w:val="ro-MD"/>
              </w:rPr>
              <w:t xml:space="preserve"> acceptă</w:t>
            </w:r>
          </w:p>
          <w:p w14:paraId="45FF7BF6" w14:textId="77777777" w:rsidR="00F91C97" w:rsidRDefault="00F91C97" w:rsidP="00245F6F">
            <w:pPr>
              <w:jc w:val="both"/>
              <w:rPr>
                <w:sz w:val="22"/>
                <w:szCs w:val="22"/>
                <w:lang w:val="ro-MD"/>
              </w:rPr>
            </w:pPr>
          </w:p>
          <w:p w14:paraId="14FCC917" w14:textId="77777777" w:rsidR="00F91C97" w:rsidRDefault="00F91C97" w:rsidP="00E80DB2">
            <w:pPr>
              <w:jc w:val="both"/>
              <w:rPr>
                <w:sz w:val="22"/>
                <w:szCs w:val="22"/>
                <w:lang w:val="ro-MD"/>
              </w:rPr>
            </w:pPr>
          </w:p>
          <w:p w14:paraId="24E9E135" w14:textId="77777777" w:rsidR="00F91C97" w:rsidRDefault="00F91C97" w:rsidP="00575BB2">
            <w:pPr>
              <w:jc w:val="both"/>
              <w:rPr>
                <w:sz w:val="22"/>
                <w:szCs w:val="22"/>
                <w:lang w:val="ro-MD"/>
              </w:rPr>
            </w:pPr>
            <w:r>
              <w:rPr>
                <w:sz w:val="22"/>
                <w:szCs w:val="22"/>
                <w:lang w:val="ro-MD"/>
              </w:rPr>
              <w:t>Se acceptă</w:t>
            </w:r>
          </w:p>
          <w:p w14:paraId="4830380D" w14:textId="77777777" w:rsidR="00F91C97" w:rsidRDefault="00F91C97" w:rsidP="0077698B">
            <w:pPr>
              <w:jc w:val="both"/>
              <w:rPr>
                <w:sz w:val="22"/>
                <w:szCs w:val="22"/>
                <w:lang w:val="ro-MD"/>
              </w:rPr>
            </w:pPr>
          </w:p>
          <w:p w14:paraId="289A1B4C" w14:textId="77777777" w:rsidR="00F91C97" w:rsidRDefault="00F91C97" w:rsidP="0077698B">
            <w:pPr>
              <w:jc w:val="both"/>
              <w:rPr>
                <w:sz w:val="22"/>
                <w:szCs w:val="22"/>
                <w:lang w:val="ro-MD"/>
              </w:rPr>
            </w:pPr>
          </w:p>
          <w:p w14:paraId="06B0C9F1" w14:textId="32A8B662" w:rsidR="00F91C97" w:rsidRDefault="00F91C97" w:rsidP="004D7925">
            <w:pPr>
              <w:jc w:val="both"/>
              <w:rPr>
                <w:sz w:val="22"/>
                <w:szCs w:val="22"/>
                <w:lang w:val="ro-MD"/>
              </w:rPr>
            </w:pPr>
            <w:r>
              <w:rPr>
                <w:sz w:val="22"/>
                <w:szCs w:val="22"/>
                <w:lang w:val="ro-MD"/>
              </w:rPr>
              <w:t>Se acceptă</w:t>
            </w:r>
          </w:p>
          <w:p w14:paraId="24451762" w14:textId="3E921EB5" w:rsidR="00F91C97" w:rsidRPr="007B4B28" w:rsidRDefault="00F91C97" w:rsidP="00FB2036">
            <w:pPr>
              <w:jc w:val="both"/>
              <w:rPr>
                <w:sz w:val="22"/>
                <w:szCs w:val="22"/>
                <w:lang w:val="ro-MD"/>
              </w:rPr>
            </w:pPr>
          </w:p>
        </w:tc>
      </w:tr>
      <w:tr w:rsidR="00004C82" w:rsidRPr="00511A6A" w14:paraId="52324531" w14:textId="77777777" w:rsidTr="001648D4">
        <w:trPr>
          <w:trHeight w:val="70"/>
        </w:trPr>
        <w:tc>
          <w:tcPr>
            <w:tcW w:w="339" w:type="pct"/>
          </w:tcPr>
          <w:p w14:paraId="53042E75" w14:textId="77777777" w:rsidR="0042546D" w:rsidRDefault="0042546D" w:rsidP="00BB1A04">
            <w:pPr>
              <w:rPr>
                <w:sz w:val="22"/>
                <w:szCs w:val="22"/>
                <w:lang w:val="ro-RO"/>
              </w:rPr>
            </w:pPr>
          </w:p>
          <w:p w14:paraId="76BC3468" w14:textId="7294D6DF" w:rsidR="00004C82" w:rsidRPr="0042546D" w:rsidRDefault="00004C82" w:rsidP="00BB1A04">
            <w:pPr>
              <w:rPr>
                <w:b/>
                <w:sz w:val="22"/>
                <w:szCs w:val="22"/>
                <w:lang w:val="ro-RO"/>
              </w:rPr>
            </w:pPr>
            <w:r w:rsidRPr="0042546D">
              <w:rPr>
                <w:b/>
                <w:sz w:val="22"/>
                <w:szCs w:val="22"/>
                <w:lang w:val="ro-RO"/>
              </w:rPr>
              <w:t>Pct.</w:t>
            </w:r>
          </w:p>
          <w:p w14:paraId="08A95A2A" w14:textId="77777777" w:rsidR="0042546D" w:rsidRPr="007B4B28" w:rsidRDefault="0042546D" w:rsidP="00BB1A04">
            <w:pPr>
              <w:rPr>
                <w:sz w:val="22"/>
                <w:szCs w:val="22"/>
                <w:lang w:val="ro-RO"/>
              </w:rPr>
            </w:pPr>
          </w:p>
          <w:p w14:paraId="575B904D" w14:textId="77777777" w:rsidR="00004C82" w:rsidRPr="007B4B28" w:rsidRDefault="00004C82" w:rsidP="00335651">
            <w:pPr>
              <w:rPr>
                <w:sz w:val="22"/>
                <w:szCs w:val="22"/>
                <w:lang w:val="ro-RO"/>
              </w:rPr>
            </w:pPr>
            <w:r w:rsidRPr="007B4B28">
              <w:rPr>
                <w:sz w:val="22"/>
                <w:szCs w:val="22"/>
                <w:lang w:val="ro-RO"/>
              </w:rPr>
              <w:t>433</w:t>
            </w:r>
            <w:r w:rsidRPr="007B4B28">
              <w:rPr>
                <w:sz w:val="22"/>
                <w:szCs w:val="22"/>
                <w:vertAlign w:val="superscript"/>
                <w:lang w:val="ro-RO"/>
              </w:rPr>
              <w:t>41</w:t>
            </w:r>
            <w:r w:rsidRPr="007B4B28">
              <w:rPr>
                <w:sz w:val="22"/>
                <w:szCs w:val="22"/>
                <w:lang w:val="ro-RO"/>
              </w:rPr>
              <w:t>, 433</w:t>
            </w:r>
            <w:r w:rsidRPr="007B4B28">
              <w:rPr>
                <w:sz w:val="22"/>
                <w:szCs w:val="22"/>
                <w:vertAlign w:val="superscript"/>
                <w:lang w:val="ro-RO"/>
              </w:rPr>
              <w:t>106</w:t>
            </w:r>
            <w:r w:rsidRPr="007B4B28">
              <w:rPr>
                <w:sz w:val="22"/>
                <w:szCs w:val="22"/>
                <w:lang w:val="ro-RO"/>
              </w:rPr>
              <w:t>,</w:t>
            </w:r>
          </w:p>
          <w:p w14:paraId="3183954D" w14:textId="77777777" w:rsidR="00004C82" w:rsidRPr="007B4B28" w:rsidRDefault="00004C82" w:rsidP="0080755D">
            <w:pPr>
              <w:rPr>
                <w:sz w:val="22"/>
                <w:szCs w:val="22"/>
                <w:lang w:val="ro-RO"/>
              </w:rPr>
            </w:pPr>
            <w:r w:rsidRPr="007B4B28">
              <w:rPr>
                <w:sz w:val="22"/>
                <w:szCs w:val="22"/>
                <w:lang w:val="ro-RO"/>
              </w:rPr>
              <w:t>433</w:t>
            </w:r>
            <w:r w:rsidRPr="007B4B28">
              <w:rPr>
                <w:sz w:val="22"/>
                <w:szCs w:val="22"/>
                <w:vertAlign w:val="superscript"/>
                <w:lang w:val="ro-RO"/>
              </w:rPr>
              <w:t>115</w:t>
            </w:r>
            <w:r w:rsidRPr="007B4B28">
              <w:rPr>
                <w:sz w:val="22"/>
                <w:szCs w:val="22"/>
                <w:lang w:val="ro-RO"/>
              </w:rPr>
              <w:t>,</w:t>
            </w:r>
          </w:p>
          <w:p w14:paraId="6F092761" w14:textId="77777777" w:rsidR="00004C82" w:rsidRPr="007B4B28" w:rsidRDefault="00004C82" w:rsidP="008A3E25">
            <w:pPr>
              <w:rPr>
                <w:sz w:val="22"/>
                <w:szCs w:val="22"/>
                <w:lang w:val="ro-RO"/>
              </w:rPr>
            </w:pPr>
            <w:r w:rsidRPr="007B4B28">
              <w:rPr>
                <w:sz w:val="22"/>
                <w:szCs w:val="22"/>
                <w:lang w:val="ro-RO"/>
              </w:rPr>
              <w:t>433</w:t>
            </w:r>
            <w:r w:rsidRPr="007B4B28">
              <w:rPr>
                <w:sz w:val="22"/>
                <w:szCs w:val="22"/>
                <w:vertAlign w:val="superscript"/>
                <w:lang w:val="ro-RO"/>
              </w:rPr>
              <w:t>129</w:t>
            </w:r>
            <w:r w:rsidRPr="007B4B28">
              <w:rPr>
                <w:sz w:val="22"/>
                <w:szCs w:val="22"/>
                <w:lang w:val="ro-RO"/>
              </w:rPr>
              <w:t>,</w:t>
            </w:r>
          </w:p>
          <w:p w14:paraId="0785D083" w14:textId="77777777" w:rsidR="00004C82" w:rsidRPr="007B4B28" w:rsidRDefault="00004C82" w:rsidP="00C45E6F">
            <w:pPr>
              <w:rPr>
                <w:sz w:val="22"/>
                <w:szCs w:val="22"/>
                <w:vertAlign w:val="superscript"/>
                <w:lang w:val="ro-RO"/>
              </w:rPr>
            </w:pPr>
            <w:r w:rsidRPr="007B4B28">
              <w:rPr>
                <w:sz w:val="22"/>
                <w:szCs w:val="22"/>
                <w:lang w:val="ro-RO"/>
              </w:rPr>
              <w:t>433</w:t>
            </w:r>
            <w:r w:rsidRPr="007B4B28">
              <w:rPr>
                <w:sz w:val="22"/>
                <w:szCs w:val="22"/>
                <w:vertAlign w:val="superscript"/>
                <w:lang w:val="ro-RO"/>
              </w:rPr>
              <w:t>150</w:t>
            </w:r>
          </w:p>
          <w:p w14:paraId="73CFBCBD" w14:textId="5AE7BE8B" w:rsidR="00004C82" w:rsidRPr="007B4B28" w:rsidRDefault="00004C82" w:rsidP="008E0AB4">
            <w:pPr>
              <w:rPr>
                <w:sz w:val="22"/>
                <w:szCs w:val="22"/>
                <w:lang w:val="ro-RO"/>
              </w:rPr>
            </w:pPr>
          </w:p>
        </w:tc>
        <w:tc>
          <w:tcPr>
            <w:tcW w:w="536" w:type="pct"/>
          </w:tcPr>
          <w:p w14:paraId="03889726" w14:textId="250BE0F2" w:rsidR="00004C82" w:rsidRPr="007B4B28" w:rsidRDefault="00004C82" w:rsidP="00395552">
            <w:pPr>
              <w:rPr>
                <w:sz w:val="22"/>
                <w:szCs w:val="22"/>
                <w:lang w:val="en-GB"/>
              </w:rPr>
            </w:pPr>
            <w:r w:rsidRPr="007B4B28">
              <w:rPr>
                <w:sz w:val="22"/>
                <w:szCs w:val="22"/>
                <w:lang w:val="en-GB"/>
              </w:rPr>
              <w:t>SA “Moldovagaz”</w:t>
            </w:r>
          </w:p>
        </w:tc>
        <w:tc>
          <w:tcPr>
            <w:tcW w:w="1528" w:type="pct"/>
          </w:tcPr>
          <w:p w14:paraId="2A1B4347" w14:textId="0E6D0791" w:rsidR="00004C82" w:rsidRPr="007B4B28" w:rsidRDefault="00004C82" w:rsidP="00395552">
            <w:pPr>
              <w:pStyle w:val="NormalWeb"/>
              <w:tabs>
                <w:tab w:val="left" w:pos="851"/>
              </w:tabs>
              <w:ind w:firstLine="0"/>
              <w:rPr>
                <w:bCs/>
                <w:color w:val="000000"/>
                <w:sz w:val="22"/>
                <w:szCs w:val="22"/>
                <w:lang w:val="ro-MD"/>
              </w:rPr>
            </w:pPr>
            <w:r>
              <w:rPr>
                <w:lang w:val="ro-MD"/>
              </w:rPr>
              <w:t>433</w:t>
            </w:r>
            <w:r>
              <w:rPr>
                <w:vertAlign w:val="superscript"/>
                <w:lang w:val="ro-MD"/>
              </w:rPr>
              <w:t>106</w:t>
            </w:r>
            <w:r>
              <w:rPr>
                <w:lang w:val="ro-MD"/>
              </w:rPr>
              <w:t xml:space="preserve"> </w:t>
            </w:r>
            <w:r w:rsidRPr="00241444">
              <w:rPr>
                <w:lang w:val="ro-MD"/>
              </w:rPr>
              <w:t>OST publică datele relevante privind tarifele cumulate menționate la pct</w:t>
            </w:r>
            <w:r w:rsidRPr="00D211F3">
              <w:rPr>
                <w:lang w:val="ro-MD"/>
              </w:rPr>
              <w:t>. 433</w:t>
            </w:r>
            <w:r w:rsidRPr="00D211F3">
              <w:rPr>
                <w:vertAlign w:val="superscript"/>
                <w:lang w:val="ro-MD"/>
              </w:rPr>
              <w:t>104</w:t>
            </w:r>
            <w:r w:rsidRPr="00D211F3">
              <w:rPr>
                <w:lang w:val="ro-MD"/>
              </w:rPr>
              <w:t xml:space="preserve"> și </w:t>
            </w:r>
            <w:r w:rsidRPr="00241444">
              <w:rPr>
                <w:lang w:val="ro-MD"/>
              </w:rPr>
              <w:t>tarifele cumulate de neutralitate pentru echilibrare, cel puțin cu aceeași frecvență</w:t>
            </w:r>
            <w:r>
              <w:rPr>
                <w:lang w:val="ro-MD"/>
              </w:rPr>
              <w:t xml:space="preserve"> cu care sunt facturate plățile</w:t>
            </w:r>
            <w:r w:rsidRPr="00241444">
              <w:rPr>
                <w:lang w:val="ro-MD"/>
              </w:rPr>
              <w:t xml:space="preserve"> respective către utilizatorii de sistem, dar nu mai puțin de o dată pe lună.</w:t>
            </w:r>
          </w:p>
        </w:tc>
        <w:tc>
          <w:tcPr>
            <w:tcW w:w="1537" w:type="pct"/>
          </w:tcPr>
          <w:p w14:paraId="712856B6" w14:textId="53FAC8EF" w:rsidR="00CF6633" w:rsidRPr="00F91C97" w:rsidRDefault="00F91C97" w:rsidP="00EF13E1">
            <w:pPr>
              <w:tabs>
                <w:tab w:val="left" w:pos="0"/>
                <w:tab w:val="left" w:pos="851"/>
              </w:tabs>
              <w:jc w:val="both"/>
              <w:rPr>
                <w:i/>
                <w:sz w:val="22"/>
                <w:szCs w:val="22"/>
                <w:lang w:val="ro-RO"/>
              </w:rPr>
            </w:pPr>
            <w:r>
              <w:rPr>
                <w:sz w:val="22"/>
                <w:szCs w:val="22"/>
                <w:lang w:val="ro-RO"/>
              </w:rPr>
              <w:t xml:space="preserve">Fraza </w:t>
            </w:r>
            <w:r w:rsidRPr="00F91C97">
              <w:rPr>
                <w:i/>
                <w:sz w:val="22"/>
                <w:szCs w:val="22"/>
                <w:lang w:val="ro-RO"/>
              </w:rPr>
              <w:t>tarifele cumulate</w:t>
            </w:r>
            <w:r>
              <w:rPr>
                <w:sz w:val="22"/>
                <w:szCs w:val="22"/>
                <w:lang w:val="ro-RO"/>
              </w:rPr>
              <w:t xml:space="preserve"> de substituit cu </w:t>
            </w:r>
            <w:r w:rsidRPr="00F91C97">
              <w:rPr>
                <w:i/>
                <w:sz w:val="22"/>
                <w:szCs w:val="22"/>
                <w:lang w:val="ro-RO"/>
              </w:rPr>
              <w:t>plățile cumulate</w:t>
            </w:r>
            <w:r w:rsidR="00C306B2">
              <w:rPr>
                <w:i/>
                <w:sz w:val="22"/>
                <w:szCs w:val="22"/>
                <w:lang w:val="ro-RO"/>
              </w:rPr>
              <w:t>.</w:t>
            </w:r>
          </w:p>
          <w:p w14:paraId="1F997652" w14:textId="208762C7" w:rsidR="00C306B2" w:rsidRDefault="00004C82" w:rsidP="00FD1806">
            <w:pPr>
              <w:tabs>
                <w:tab w:val="left" w:pos="0"/>
                <w:tab w:val="left" w:pos="851"/>
              </w:tabs>
              <w:jc w:val="both"/>
              <w:rPr>
                <w:sz w:val="22"/>
                <w:szCs w:val="22"/>
                <w:lang w:val="ro-RO"/>
              </w:rPr>
            </w:pPr>
            <w:r w:rsidRPr="007B4B28">
              <w:rPr>
                <w:sz w:val="22"/>
                <w:szCs w:val="22"/>
                <w:lang w:val="ro-RO"/>
              </w:rPr>
              <w:t>Unii termeni și unele texte transpuse din Regulamentul UE nr. 312/2014 este necesar de a fi</w:t>
            </w:r>
            <w:r w:rsidR="0021332B">
              <w:rPr>
                <w:sz w:val="22"/>
                <w:szCs w:val="22"/>
                <w:lang w:val="ro-RO"/>
              </w:rPr>
              <w:t xml:space="preserve"> corectate cum ar fi</w:t>
            </w:r>
            <w:r w:rsidR="0042546D">
              <w:rPr>
                <w:sz w:val="22"/>
                <w:szCs w:val="22"/>
                <w:lang w:val="en-US"/>
              </w:rPr>
              <w:t>;</w:t>
            </w:r>
            <w:r w:rsidR="00C306B2">
              <w:rPr>
                <w:sz w:val="22"/>
                <w:szCs w:val="22"/>
                <w:lang w:val="ro-RO"/>
              </w:rPr>
              <w:t xml:space="preserve"> redactarea distorsionată a frazelor</w:t>
            </w:r>
            <w:r w:rsidRPr="007B4B28">
              <w:rPr>
                <w:sz w:val="22"/>
                <w:szCs w:val="22"/>
                <w:lang w:val="ro-RO"/>
              </w:rPr>
              <w:t>: „</w:t>
            </w:r>
            <w:r w:rsidRPr="007B4B28">
              <w:rPr>
                <w:i/>
                <w:sz w:val="22"/>
                <w:szCs w:val="22"/>
                <w:lang w:val="ro-RO"/>
              </w:rPr>
              <w:t>face eforturi</w:t>
            </w:r>
            <w:r w:rsidRPr="007B4B28">
              <w:rPr>
                <w:sz w:val="22"/>
                <w:szCs w:val="22"/>
                <w:lang w:val="ro-RO"/>
              </w:rPr>
              <w:t>” (pct. 433</w:t>
            </w:r>
            <w:r w:rsidRPr="007B4B28">
              <w:rPr>
                <w:sz w:val="22"/>
                <w:szCs w:val="22"/>
                <w:vertAlign w:val="superscript"/>
                <w:lang w:val="ro-RO"/>
              </w:rPr>
              <w:t>41</w:t>
            </w:r>
            <w:r w:rsidR="00C306B2">
              <w:rPr>
                <w:sz w:val="22"/>
                <w:szCs w:val="22"/>
                <w:lang w:val="ro-RO"/>
              </w:rPr>
              <w:t>)</w:t>
            </w:r>
            <w:r w:rsidRPr="007B4B28">
              <w:rPr>
                <w:sz w:val="22"/>
                <w:szCs w:val="22"/>
                <w:lang w:val="ro-RO"/>
              </w:rPr>
              <w:t>, „</w:t>
            </w:r>
            <w:r w:rsidRPr="007B4B28">
              <w:rPr>
                <w:i/>
                <w:sz w:val="22"/>
                <w:szCs w:val="22"/>
                <w:lang w:val="ro-RO"/>
              </w:rPr>
              <w:t>principiul egalității de tratament</w:t>
            </w:r>
            <w:r w:rsidRPr="007B4B28">
              <w:rPr>
                <w:sz w:val="22"/>
                <w:szCs w:val="22"/>
                <w:lang w:val="ro-RO"/>
              </w:rPr>
              <w:t>” (pct. 433</w:t>
            </w:r>
            <w:r w:rsidRPr="007B4B28">
              <w:rPr>
                <w:sz w:val="22"/>
                <w:szCs w:val="22"/>
                <w:vertAlign w:val="superscript"/>
                <w:lang w:val="ro-RO"/>
              </w:rPr>
              <w:t>115</w:t>
            </w:r>
            <w:r w:rsidRPr="007B4B28">
              <w:rPr>
                <w:sz w:val="22"/>
                <w:szCs w:val="22"/>
                <w:lang w:val="ro-RO"/>
              </w:rPr>
              <w:t>), „</w:t>
            </w:r>
            <w:r w:rsidRPr="007B4B28">
              <w:rPr>
                <w:i/>
                <w:sz w:val="22"/>
                <w:szCs w:val="22"/>
                <w:lang w:val="ro-RO"/>
              </w:rPr>
              <w:t>fluxurile incrementale de gaze naturale de după fluxul</w:t>
            </w:r>
            <w:r w:rsidRPr="007B4B28">
              <w:rPr>
                <w:sz w:val="22"/>
                <w:szCs w:val="22"/>
                <w:lang w:val="ro-RO"/>
              </w:rPr>
              <w:t>” (pct. 433</w:t>
            </w:r>
            <w:r w:rsidRPr="007B4B28">
              <w:rPr>
                <w:sz w:val="22"/>
                <w:szCs w:val="22"/>
                <w:vertAlign w:val="superscript"/>
                <w:lang w:val="ro-RO"/>
              </w:rPr>
              <w:t>129</w:t>
            </w:r>
            <w:r w:rsidRPr="007B4B28">
              <w:rPr>
                <w:sz w:val="22"/>
                <w:szCs w:val="22"/>
                <w:lang w:val="ro-RO"/>
              </w:rPr>
              <w:t xml:space="preserve">), </w:t>
            </w:r>
          </w:p>
          <w:p w14:paraId="72F0D6A7" w14:textId="49DE2159" w:rsidR="00004C82" w:rsidRPr="007B4B28" w:rsidRDefault="0042546D" w:rsidP="00E04CB3">
            <w:pPr>
              <w:tabs>
                <w:tab w:val="left" w:pos="0"/>
                <w:tab w:val="left" w:pos="851"/>
              </w:tabs>
              <w:jc w:val="both"/>
              <w:rPr>
                <w:sz w:val="22"/>
                <w:szCs w:val="22"/>
                <w:lang w:val="ro-RO"/>
              </w:rPr>
            </w:pPr>
            <w:r>
              <w:rPr>
                <w:sz w:val="22"/>
                <w:szCs w:val="22"/>
                <w:lang w:val="ro-MD"/>
              </w:rPr>
              <w:t>ș</w:t>
            </w:r>
            <w:r w:rsidR="00C306B2">
              <w:rPr>
                <w:sz w:val="22"/>
                <w:szCs w:val="22"/>
                <w:lang w:val="ro-RO"/>
              </w:rPr>
              <w:t>i ineczactitudinea</w:t>
            </w:r>
            <w:r>
              <w:rPr>
                <w:sz w:val="22"/>
                <w:szCs w:val="22"/>
                <w:lang w:val="ro-RO"/>
              </w:rPr>
              <w:t xml:space="preserve"> - </w:t>
            </w:r>
            <w:r w:rsidR="00004C82" w:rsidRPr="007B4B28">
              <w:rPr>
                <w:sz w:val="22"/>
                <w:szCs w:val="22"/>
                <w:lang w:val="ro-RO"/>
              </w:rPr>
              <w:t>„</w:t>
            </w:r>
            <w:r w:rsidR="00004C82" w:rsidRPr="007B4B28">
              <w:rPr>
                <w:i/>
                <w:sz w:val="22"/>
                <w:szCs w:val="22"/>
                <w:lang w:val="ro-RO"/>
              </w:rPr>
              <w:t>moment suficient de decalat</w:t>
            </w:r>
            <w:r w:rsidR="00004C82" w:rsidRPr="007B4B28">
              <w:rPr>
                <w:sz w:val="22"/>
                <w:szCs w:val="22"/>
                <w:lang w:val="ro-RO"/>
              </w:rPr>
              <w:t xml:space="preserve">” </w:t>
            </w:r>
            <w:r>
              <w:rPr>
                <w:sz w:val="22"/>
                <w:szCs w:val="22"/>
                <w:lang w:val="ro-RO"/>
              </w:rPr>
              <w:t xml:space="preserve">din </w:t>
            </w:r>
            <w:r w:rsidR="00004C82" w:rsidRPr="007B4B28">
              <w:rPr>
                <w:sz w:val="22"/>
                <w:szCs w:val="22"/>
                <w:lang w:val="ro-RO"/>
              </w:rPr>
              <w:t>(pct. 433</w:t>
            </w:r>
            <w:r w:rsidR="00004C82" w:rsidRPr="007B4B28">
              <w:rPr>
                <w:sz w:val="22"/>
                <w:szCs w:val="22"/>
                <w:vertAlign w:val="superscript"/>
                <w:lang w:val="ro-RO"/>
              </w:rPr>
              <w:t>150</w:t>
            </w:r>
            <w:r w:rsidR="00004C82" w:rsidRPr="007B4B28">
              <w:rPr>
                <w:sz w:val="22"/>
                <w:szCs w:val="22"/>
                <w:lang w:val="ro-RO"/>
              </w:rPr>
              <w:t xml:space="preserve">) </w:t>
            </w:r>
            <w:r>
              <w:rPr>
                <w:sz w:val="22"/>
                <w:szCs w:val="22"/>
                <w:lang w:val="ro-RO"/>
              </w:rPr>
              <w:t>a se substitui cu</w:t>
            </w:r>
            <w:r w:rsidR="0021332B">
              <w:rPr>
                <w:sz w:val="22"/>
                <w:szCs w:val="22"/>
                <w:lang w:val="ro-RO"/>
              </w:rPr>
              <w:t xml:space="preserve"> - </w:t>
            </w:r>
            <w:r>
              <w:rPr>
                <w:sz w:val="22"/>
                <w:szCs w:val="22"/>
                <w:lang w:val="ro-RO"/>
              </w:rPr>
              <w:t xml:space="preserve"> </w:t>
            </w:r>
            <w:r w:rsidRPr="0042546D">
              <w:rPr>
                <w:i/>
                <w:sz w:val="22"/>
                <w:szCs w:val="22"/>
                <w:lang w:val="ro-RO"/>
              </w:rPr>
              <w:t>moment suficient de a se decala</w:t>
            </w:r>
            <w:r>
              <w:rPr>
                <w:sz w:val="22"/>
                <w:szCs w:val="22"/>
                <w:lang w:val="ro-RO"/>
              </w:rPr>
              <w:t>.</w:t>
            </w:r>
            <w:r w:rsidR="0021332B">
              <w:rPr>
                <w:sz w:val="22"/>
                <w:szCs w:val="22"/>
                <w:lang w:val="ro-RO"/>
              </w:rPr>
              <w:t xml:space="preserve"> </w:t>
            </w:r>
            <w:r w:rsidR="00E04CB3">
              <w:rPr>
                <w:sz w:val="22"/>
                <w:szCs w:val="22"/>
                <w:lang w:val="ro-RO"/>
              </w:rPr>
              <w:t>ș.a.</w:t>
            </w:r>
          </w:p>
        </w:tc>
        <w:tc>
          <w:tcPr>
            <w:cnfStyle w:val="000100000000" w:firstRow="0" w:lastRow="0" w:firstColumn="0" w:lastColumn="1" w:oddVBand="0" w:evenVBand="0" w:oddHBand="0" w:evenHBand="0" w:firstRowFirstColumn="0" w:firstRowLastColumn="0" w:lastRowFirstColumn="0" w:lastRowLastColumn="0"/>
            <w:tcW w:w="1060" w:type="pct"/>
          </w:tcPr>
          <w:p w14:paraId="65784620" w14:textId="6FBF523E" w:rsidR="00C306B2" w:rsidRPr="00C306B2" w:rsidRDefault="00C306B2" w:rsidP="00245F6F">
            <w:pPr>
              <w:jc w:val="both"/>
              <w:rPr>
                <w:sz w:val="22"/>
                <w:szCs w:val="22"/>
                <w:lang w:val="ro-RO"/>
              </w:rPr>
            </w:pPr>
          </w:p>
          <w:p w14:paraId="567A3781" w14:textId="77777777" w:rsidR="00004C82" w:rsidRDefault="00193A57" w:rsidP="00E80DB2">
            <w:pPr>
              <w:jc w:val="both"/>
              <w:rPr>
                <w:sz w:val="22"/>
                <w:szCs w:val="22"/>
                <w:lang w:val="ro-MD"/>
              </w:rPr>
            </w:pPr>
            <w:r>
              <w:rPr>
                <w:sz w:val="22"/>
                <w:szCs w:val="22"/>
                <w:lang w:val="ro-MD"/>
              </w:rPr>
              <w:t>Se acceptă</w:t>
            </w:r>
          </w:p>
          <w:p w14:paraId="55345C1D" w14:textId="77777777" w:rsidR="00C306B2" w:rsidRDefault="00C306B2" w:rsidP="00575BB2">
            <w:pPr>
              <w:jc w:val="both"/>
              <w:rPr>
                <w:sz w:val="22"/>
                <w:szCs w:val="22"/>
                <w:lang w:val="ro-MD"/>
              </w:rPr>
            </w:pPr>
          </w:p>
          <w:p w14:paraId="548155CE" w14:textId="77777777" w:rsidR="00C306B2" w:rsidRDefault="00C306B2" w:rsidP="0077698B">
            <w:pPr>
              <w:jc w:val="both"/>
              <w:rPr>
                <w:sz w:val="22"/>
                <w:szCs w:val="22"/>
                <w:lang w:val="ro-MD"/>
              </w:rPr>
            </w:pPr>
          </w:p>
          <w:p w14:paraId="7F39F48C" w14:textId="77777777" w:rsidR="00C306B2" w:rsidRDefault="00C306B2" w:rsidP="0077698B">
            <w:pPr>
              <w:jc w:val="both"/>
              <w:rPr>
                <w:sz w:val="22"/>
                <w:szCs w:val="22"/>
                <w:lang w:val="ro-MD"/>
              </w:rPr>
            </w:pPr>
          </w:p>
          <w:p w14:paraId="53903817" w14:textId="77777777" w:rsidR="00C306B2" w:rsidRDefault="00C306B2" w:rsidP="004D7925">
            <w:pPr>
              <w:jc w:val="both"/>
              <w:rPr>
                <w:sz w:val="22"/>
                <w:szCs w:val="22"/>
                <w:lang w:val="ro-MD"/>
              </w:rPr>
            </w:pPr>
          </w:p>
          <w:p w14:paraId="72A07520" w14:textId="77777777" w:rsidR="00E04CB3" w:rsidRDefault="0042546D" w:rsidP="00E04CB3">
            <w:pPr>
              <w:jc w:val="both"/>
              <w:rPr>
                <w:sz w:val="22"/>
                <w:szCs w:val="22"/>
                <w:lang w:val="ro-MD"/>
              </w:rPr>
            </w:pPr>
            <w:r>
              <w:rPr>
                <w:sz w:val="22"/>
                <w:szCs w:val="22"/>
                <w:lang w:val="ro-MD"/>
              </w:rPr>
              <w:t>Se acceptă</w:t>
            </w:r>
            <w:r w:rsidR="00E04CB3">
              <w:rPr>
                <w:sz w:val="22"/>
                <w:szCs w:val="22"/>
                <w:lang w:val="ro-MD"/>
              </w:rPr>
              <w:t xml:space="preserve"> </w:t>
            </w:r>
          </w:p>
          <w:p w14:paraId="32E11E1A" w14:textId="77777777" w:rsidR="00E04CB3" w:rsidRDefault="00E04CB3" w:rsidP="00E04CB3">
            <w:pPr>
              <w:jc w:val="both"/>
              <w:rPr>
                <w:sz w:val="22"/>
                <w:szCs w:val="22"/>
                <w:lang w:val="ro-MD"/>
              </w:rPr>
            </w:pPr>
          </w:p>
          <w:p w14:paraId="76AE486C" w14:textId="77777777" w:rsidR="00E04CB3" w:rsidRDefault="00E04CB3" w:rsidP="00E04CB3">
            <w:pPr>
              <w:jc w:val="both"/>
              <w:rPr>
                <w:sz w:val="22"/>
                <w:szCs w:val="22"/>
                <w:lang w:val="ro-MD"/>
              </w:rPr>
            </w:pPr>
          </w:p>
          <w:p w14:paraId="17FC3BEA" w14:textId="3499430E" w:rsidR="00E04CB3" w:rsidRDefault="00E04CB3" w:rsidP="00E04CB3">
            <w:pPr>
              <w:jc w:val="both"/>
              <w:rPr>
                <w:sz w:val="22"/>
                <w:szCs w:val="22"/>
                <w:lang w:val="ro-MD"/>
              </w:rPr>
            </w:pPr>
            <w:r>
              <w:rPr>
                <w:sz w:val="22"/>
                <w:szCs w:val="22"/>
                <w:lang w:val="ro-MD"/>
              </w:rPr>
              <w:t>Nu se acceptă</w:t>
            </w:r>
          </w:p>
          <w:p w14:paraId="1C67B909" w14:textId="29781086" w:rsidR="0042546D" w:rsidRPr="007B4B28" w:rsidRDefault="0042546D" w:rsidP="00E04CB3">
            <w:pPr>
              <w:jc w:val="both"/>
              <w:rPr>
                <w:sz w:val="22"/>
                <w:szCs w:val="22"/>
                <w:lang w:val="ro-MD"/>
              </w:rPr>
            </w:pPr>
          </w:p>
        </w:tc>
      </w:tr>
      <w:tr w:rsidR="00004C82" w:rsidRPr="007B4B28" w14:paraId="761B3267" w14:textId="77777777" w:rsidTr="001648D4">
        <w:trPr>
          <w:trHeight w:val="70"/>
        </w:trPr>
        <w:tc>
          <w:tcPr>
            <w:tcW w:w="339" w:type="pct"/>
          </w:tcPr>
          <w:p w14:paraId="12ED0E30" w14:textId="77777777" w:rsidR="00CF6633" w:rsidRDefault="00CF6633" w:rsidP="00BB1A04">
            <w:pPr>
              <w:rPr>
                <w:sz w:val="22"/>
                <w:szCs w:val="22"/>
                <w:lang w:val="ro-RO"/>
              </w:rPr>
            </w:pPr>
          </w:p>
          <w:p w14:paraId="46E59E7D" w14:textId="77777777" w:rsidR="00CF6633" w:rsidRDefault="00CF6633" w:rsidP="00BB1A04">
            <w:pPr>
              <w:rPr>
                <w:sz w:val="22"/>
                <w:szCs w:val="22"/>
                <w:lang w:val="ro-RO"/>
              </w:rPr>
            </w:pPr>
          </w:p>
          <w:p w14:paraId="4C4F35C3" w14:textId="77777777" w:rsidR="00CF6633" w:rsidRDefault="00CF6633" w:rsidP="00BB1A04">
            <w:pPr>
              <w:rPr>
                <w:sz w:val="22"/>
                <w:szCs w:val="22"/>
                <w:lang w:val="ro-RO"/>
              </w:rPr>
            </w:pPr>
          </w:p>
          <w:p w14:paraId="45C0C7A1" w14:textId="77211C7F" w:rsidR="00004C82" w:rsidRPr="007B4B28" w:rsidRDefault="00004C82" w:rsidP="00335651">
            <w:pPr>
              <w:rPr>
                <w:sz w:val="22"/>
                <w:szCs w:val="22"/>
                <w:lang w:val="ro-RO"/>
              </w:rPr>
            </w:pPr>
            <w:r w:rsidRPr="007B4B28">
              <w:rPr>
                <w:sz w:val="22"/>
                <w:szCs w:val="22"/>
                <w:lang w:val="ro-RO"/>
              </w:rPr>
              <w:lastRenderedPageBreak/>
              <w:t>Pct. 444</w:t>
            </w:r>
          </w:p>
        </w:tc>
        <w:tc>
          <w:tcPr>
            <w:tcW w:w="536" w:type="pct"/>
          </w:tcPr>
          <w:p w14:paraId="5CDCD0FE" w14:textId="77777777" w:rsidR="00CF6633" w:rsidRDefault="00CF6633" w:rsidP="0080755D">
            <w:pPr>
              <w:rPr>
                <w:sz w:val="22"/>
                <w:szCs w:val="22"/>
                <w:lang w:val="en-GB"/>
              </w:rPr>
            </w:pPr>
          </w:p>
          <w:p w14:paraId="0E717F86" w14:textId="77777777" w:rsidR="00CF6633" w:rsidRDefault="00CF6633" w:rsidP="008A3E25">
            <w:pPr>
              <w:rPr>
                <w:sz w:val="22"/>
                <w:szCs w:val="22"/>
                <w:lang w:val="en-GB"/>
              </w:rPr>
            </w:pPr>
          </w:p>
          <w:p w14:paraId="1C629A78" w14:textId="13ADD282" w:rsidR="00CF6633" w:rsidRDefault="00004C82" w:rsidP="00C45E6F">
            <w:pPr>
              <w:rPr>
                <w:sz w:val="22"/>
                <w:szCs w:val="22"/>
                <w:lang w:val="en-GB"/>
              </w:rPr>
            </w:pPr>
            <w:r w:rsidRPr="007B4B28">
              <w:rPr>
                <w:sz w:val="22"/>
                <w:szCs w:val="22"/>
                <w:lang w:val="en-GB"/>
              </w:rPr>
              <w:t xml:space="preserve">SA </w:t>
            </w:r>
          </w:p>
          <w:p w14:paraId="0FB74867" w14:textId="1BD8B419" w:rsidR="00004C82" w:rsidRPr="007B4B28" w:rsidRDefault="00004C82" w:rsidP="008E0AB4">
            <w:pPr>
              <w:rPr>
                <w:sz w:val="22"/>
                <w:szCs w:val="22"/>
                <w:lang w:val="en-GB"/>
              </w:rPr>
            </w:pPr>
            <w:r w:rsidRPr="007B4B28">
              <w:rPr>
                <w:sz w:val="22"/>
                <w:szCs w:val="22"/>
                <w:lang w:val="en-GB"/>
              </w:rPr>
              <w:lastRenderedPageBreak/>
              <w:t>“Moldovagaz”</w:t>
            </w:r>
          </w:p>
        </w:tc>
        <w:tc>
          <w:tcPr>
            <w:tcW w:w="1528" w:type="pct"/>
          </w:tcPr>
          <w:p w14:paraId="056153E4" w14:textId="6728FA46" w:rsidR="00004C82" w:rsidRPr="007B4B28" w:rsidRDefault="00004C82" w:rsidP="00395552">
            <w:pPr>
              <w:pStyle w:val="NormalWeb"/>
              <w:tabs>
                <w:tab w:val="left" w:pos="851"/>
              </w:tabs>
              <w:ind w:firstLine="0"/>
              <w:rPr>
                <w:bCs/>
                <w:color w:val="000000"/>
                <w:sz w:val="22"/>
                <w:szCs w:val="22"/>
                <w:lang w:val="ro-MD"/>
              </w:rPr>
            </w:pPr>
            <w:r w:rsidRPr="007B4B28">
              <w:rPr>
                <w:color w:val="000000"/>
                <w:sz w:val="22"/>
                <w:szCs w:val="22"/>
                <w:lang w:val="ro-MD"/>
              </w:rPr>
              <w:lastRenderedPageBreak/>
              <w:t xml:space="preserve">Agenția poate permite OST, în baza unei cereri justificate din partea acestuia, să se conformeze dispozițiilor Titlului VI în termen de </w:t>
            </w:r>
            <w:r w:rsidRPr="007B4B28">
              <w:rPr>
                <w:b/>
                <w:color w:val="000000"/>
                <w:sz w:val="22"/>
                <w:szCs w:val="22"/>
                <w:lang w:val="ro-MD"/>
              </w:rPr>
              <w:t>24 de luni</w:t>
            </w:r>
            <w:r w:rsidRPr="007B4B28">
              <w:rPr>
                <w:color w:val="000000"/>
                <w:sz w:val="22"/>
                <w:szCs w:val="22"/>
                <w:lang w:val="ro-MD"/>
              </w:rPr>
              <w:t xml:space="preserve"> </w:t>
            </w:r>
            <w:r w:rsidRPr="007B4B28">
              <w:rPr>
                <w:b/>
                <w:color w:val="000000"/>
                <w:sz w:val="22"/>
                <w:szCs w:val="22"/>
                <w:lang w:val="ro-MD"/>
              </w:rPr>
              <w:lastRenderedPageBreak/>
              <w:t>de la 12 decembrie 2020</w:t>
            </w:r>
            <w:r w:rsidRPr="007B4B28">
              <w:rPr>
                <w:color w:val="000000"/>
                <w:sz w:val="22"/>
                <w:szCs w:val="22"/>
                <w:lang w:val="ro-MD"/>
              </w:rPr>
              <w:t>, cu condiția ca nicio măsură provizorie menționată în capitolul X Titlului VI să nu fie pusă în aplicare de OST. În cazul în care Agenția recurge la această posibilitate, Titlului VI nu se aplică în zona de echilibrare aparținând respectivului OST în măsura și pe durata perioadei de tranziție stabilite în decizia Agenției.</w:t>
            </w:r>
          </w:p>
        </w:tc>
        <w:tc>
          <w:tcPr>
            <w:tcW w:w="1537" w:type="pct"/>
          </w:tcPr>
          <w:p w14:paraId="57C51E92" w14:textId="77777777" w:rsidR="00CF6633" w:rsidRDefault="00CF6633" w:rsidP="00EF13E1">
            <w:pPr>
              <w:tabs>
                <w:tab w:val="left" w:pos="0"/>
                <w:tab w:val="left" w:pos="851"/>
              </w:tabs>
              <w:jc w:val="both"/>
              <w:rPr>
                <w:sz w:val="22"/>
                <w:szCs w:val="22"/>
                <w:lang w:val="ro-RO"/>
              </w:rPr>
            </w:pPr>
          </w:p>
          <w:p w14:paraId="6D8E3FC7" w14:textId="77777777" w:rsidR="00CF6633" w:rsidRDefault="00CF6633" w:rsidP="00FD1806">
            <w:pPr>
              <w:tabs>
                <w:tab w:val="left" w:pos="0"/>
                <w:tab w:val="left" w:pos="851"/>
              </w:tabs>
              <w:jc w:val="both"/>
              <w:rPr>
                <w:sz w:val="22"/>
                <w:szCs w:val="22"/>
                <w:lang w:val="ro-RO"/>
              </w:rPr>
            </w:pPr>
          </w:p>
          <w:p w14:paraId="5AA5718B" w14:textId="77777777" w:rsidR="00CF6633" w:rsidRDefault="00CF6633" w:rsidP="00245F6F">
            <w:pPr>
              <w:tabs>
                <w:tab w:val="left" w:pos="0"/>
                <w:tab w:val="left" w:pos="851"/>
              </w:tabs>
              <w:jc w:val="both"/>
              <w:rPr>
                <w:sz w:val="22"/>
                <w:szCs w:val="22"/>
                <w:lang w:val="ro-RO"/>
              </w:rPr>
            </w:pPr>
          </w:p>
          <w:p w14:paraId="01DBF559" w14:textId="3ABC08AC" w:rsidR="00004C82" w:rsidRPr="007B4B28" w:rsidRDefault="00004C82" w:rsidP="00E80DB2">
            <w:pPr>
              <w:tabs>
                <w:tab w:val="left" w:pos="0"/>
                <w:tab w:val="left" w:pos="851"/>
              </w:tabs>
              <w:jc w:val="both"/>
              <w:rPr>
                <w:sz w:val="22"/>
                <w:szCs w:val="22"/>
                <w:lang w:val="ro-RO"/>
              </w:rPr>
            </w:pPr>
            <w:r w:rsidRPr="007B4B28">
              <w:rPr>
                <w:sz w:val="22"/>
                <w:szCs w:val="22"/>
                <w:lang w:val="ro-RO"/>
              </w:rPr>
              <w:lastRenderedPageBreak/>
              <w:t>Textul „</w:t>
            </w:r>
            <w:r w:rsidRPr="007B4B28">
              <w:rPr>
                <w:i/>
                <w:sz w:val="22"/>
                <w:szCs w:val="22"/>
                <w:lang w:val="ro-RO"/>
              </w:rPr>
              <w:t>Titlului VI</w:t>
            </w:r>
            <w:r w:rsidRPr="007B4B28">
              <w:rPr>
                <w:sz w:val="22"/>
                <w:szCs w:val="22"/>
                <w:lang w:val="ro-RO"/>
              </w:rPr>
              <w:t>” se va substitui cu textul „</w:t>
            </w:r>
            <w:r w:rsidRPr="007B4B28">
              <w:rPr>
                <w:i/>
                <w:sz w:val="22"/>
                <w:szCs w:val="22"/>
                <w:lang w:val="ro-RO"/>
              </w:rPr>
              <w:t>Titlului V</w:t>
            </w:r>
            <w:r w:rsidRPr="007B4B28">
              <w:rPr>
                <w:i/>
                <w:sz w:val="22"/>
                <w:szCs w:val="22"/>
                <w:vertAlign w:val="superscript"/>
                <w:lang w:val="ro-RO"/>
              </w:rPr>
              <w:t>1</w:t>
            </w:r>
            <w:r w:rsidRPr="007B4B28">
              <w:rPr>
                <w:sz w:val="22"/>
                <w:szCs w:val="22"/>
                <w:lang w:val="ro-RO"/>
              </w:rPr>
              <w:t>”.</w:t>
            </w:r>
          </w:p>
        </w:tc>
        <w:tc>
          <w:tcPr>
            <w:cnfStyle w:val="000100000000" w:firstRow="0" w:lastRow="0" w:firstColumn="0" w:lastColumn="1" w:oddVBand="0" w:evenVBand="0" w:oddHBand="0" w:evenHBand="0" w:firstRowFirstColumn="0" w:firstRowLastColumn="0" w:lastRowFirstColumn="0" w:lastRowLastColumn="0"/>
            <w:tcW w:w="1060" w:type="pct"/>
          </w:tcPr>
          <w:p w14:paraId="3A08C52D" w14:textId="77777777" w:rsidR="00891E48" w:rsidRDefault="00891E48" w:rsidP="00575BB2">
            <w:pPr>
              <w:jc w:val="both"/>
              <w:rPr>
                <w:sz w:val="22"/>
                <w:szCs w:val="22"/>
                <w:lang w:val="ro-MD"/>
              </w:rPr>
            </w:pPr>
          </w:p>
          <w:p w14:paraId="3F1C4659" w14:textId="77777777" w:rsidR="00CF6633" w:rsidRDefault="00CF6633" w:rsidP="0077698B">
            <w:pPr>
              <w:jc w:val="both"/>
              <w:rPr>
                <w:sz w:val="22"/>
                <w:szCs w:val="22"/>
                <w:lang w:val="ro-MD"/>
              </w:rPr>
            </w:pPr>
          </w:p>
          <w:p w14:paraId="08EA8DD6" w14:textId="77777777" w:rsidR="00CF6633" w:rsidRDefault="00CF6633" w:rsidP="0077698B">
            <w:pPr>
              <w:jc w:val="both"/>
              <w:rPr>
                <w:sz w:val="22"/>
                <w:szCs w:val="22"/>
                <w:lang w:val="ro-MD"/>
              </w:rPr>
            </w:pPr>
          </w:p>
          <w:p w14:paraId="6E600E8D" w14:textId="73272251" w:rsidR="00004C82" w:rsidRPr="007B4B28" w:rsidRDefault="00E04CB3" w:rsidP="004D7925">
            <w:pPr>
              <w:jc w:val="both"/>
              <w:rPr>
                <w:sz w:val="22"/>
                <w:szCs w:val="22"/>
                <w:lang w:val="ro-MD"/>
              </w:rPr>
            </w:pPr>
            <w:r>
              <w:rPr>
                <w:sz w:val="22"/>
                <w:szCs w:val="22"/>
                <w:lang w:val="ro-MD"/>
              </w:rPr>
              <w:lastRenderedPageBreak/>
              <w:t>Nu s</w:t>
            </w:r>
            <w:r w:rsidR="009C2641">
              <w:rPr>
                <w:sz w:val="22"/>
                <w:szCs w:val="22"/>
                <w:lang w:val="ro-MD"/>
              </w:rPr>
              <w:t>e acceptă</w:t>
            </w:r>
          </w:p>
        </w:tc>
      </w:tr>
      <w:tr w:rsidR="00004C82" w:rsidRPr="007B4B28" w14:paraId="450A8C56" w14:textId="77777777" w:rsidTr="001648D4">
        <w:trPr>
          <w:trHeight w:val="70"/>
        </w:trPr>
        <w:tc>
          <w:tcPr>
            <w:tcW w:w="339" w:type="pct"/>
          </w:tcPr>
          <w:p w14:paraId="1EE6D7AA" w14:textId="27387EAA" w:rsidR="00004C82" w:rsidRPr="007B4B28" w:rsidRDefault="00004C82" w:rsidP="00BB1A04">
            <w:pPr>
              <w:rPr>
                <w:sz w:val="22"/>
                <w:szCs w:val="22"/>
                <w:lang w:val="ro-RO"/>
              </w:rPr>
            </w:pPr>
            <w:r w:rsidRPr="007B4B28">
              <w:rPr>
                <w:sz w:val="22"/>
                <w:szCs w:val="22"/>
                <w:lang w:val="ro-RO"/>
              </w:rPr>
              <w:lastRenderedPageBreak/>
              <w:t>Pct. 444</w:t>
            </w:r>
          </w:p>
        </w:tc>
        <w:tc>
          <w:tcPr>
            <w:tcW w:w="536" w:type="pct"/>
          </w:tcPr>
          <w:p w14:paraId="18EC4B02" w14:textId="438861D4" w:rsidR="00004C82" w:rsidRPr="007B4B28" w:rsidRDefault="00004C82" w:rsidP="00BB1A04">
            <w:pPr>
              <w:rPr>
                <w:sz w:val="22"/>
                <w:szCs w:val="22"/>
                <w:lang w:val="en-GB"/>
              </w:rPr>
            </w:pPr>
            <w:r w:rsidRPr="007B4B28">
              <w:rPr>
                <w:sz w:val="22"/>
                <w:szCs w:val="22"/>
                <w:lang w:val="en-GB"/>
              </w:rPr>
              <w:t>SRL</w:t>
            </w:r>
            <w:r w:rsidR="009537E2">
              <w:rPr>
                <w:sz w:val="22"/>
                <w:szCs w:val="22"/>
                <w:lang w:val="en-GB"/>
              </w:rPr>
              <w:t xml:space="preserve"> </w:t>
            </w:r>
            <w:r w:rsidRPr="007B4B28">
              <w:rPr>
                <w:sz w:val="22"/>
                <w:szCs w:val="22"/>
                <w:lang w:val="en-GB"/>
              </w:rPr>
              <w:t>”Vestmold</w:t>
            </w:r>
            <w:r w:rsidR="009537E2">
              <w:rPr>
                <w:sz w:val="22"/>
                <w:szCs w:val="22"/>
                <w:lang w:val="en-GB"/>
              </w:rPr>
              <w:t>-</w:t>
            </w:r>
            <w:r w:rsidRPr="007B4B28">
              <w:rPr>
                <w:sz w:val="22"/>
                <w:szCs w:val="22"/>
                <w:lang w:val="en-GB"/>
              </w:rPr>
              <w:t>transgaz</w:t>
            </w:r>
          </w:p>
        </w:tc>
        <w:tc>
          <w:tcPr>
            <w:tcW w:w="1528" w:type="pct"/>
          </w:tcPr>
          <w:p w14:paraId="3C0652AF" w14:textId="72A71771" w:rsidR="00004C82" w:rsidRPr="007B4B28" w:rsidRDefault="00004C82" w:rsidP="00BB1A04">
            <w:pPr>
              <w:pStyle w:val="NormalWeb"/>
              <w:tabs>
                <w:tab w:val="left" w:pos="851"/>
              </w:tabs>
              <w:ind w:firstLine="0"/>
              <w:rPr>
                <w:bCs/>
                <w:color w:val="000000"/>
                <w:sz w:val="22"/>
                <w:szCs w:val="22"/>
                <w:lang w:val="ro-MD"/>
              </w:rPr>
            </w:pPr>
            <w:r w:rsidRPr="007B4B28">
              <w:rPr>
                <w:color w:val="000000"/>
                <w:sz w:val="22"/>
                <w:szCs w:val="22"/>
                <w:lang w:val="ro-MD"/>
              </w:rPr>
              <w:t xml:space="preserve">Agenția poate permite OST, în baza unei cereri justificate din partea acestuia, să se conformeze dispozițiilor Titlului VI în termen de </w:t>
            </w:r>
            <w:r w:rsidRPr="007B4B28">
              <w:rPr>
                <w:b/>
                <w:color w:val="000000"/>
                <w:sz w:val="22"/>
                <w:szCs w:val="22"/>
                <w:lang w:val="ro-MD"/>
              </w:rPr>
              <w:t>24 de luni</w:t>
            </w:r>
            <w:r w:rsidRPr="007B4B28">
              <w:rPr>
                <w:color w:val="000000"/>
                <w:sz w:val="22"/>
                <w:szCs w:val="22"/>
                <w:lang w:val="ro-MD"/>
              </w:rPr>
              <w:t xml:space="preserve"> </w:t>
            </w:r>
            <w:r w:rsidRPr="007B4B28">
              <w:rPr>
                <w:b/>
                <w:color w:val="000000"/>
                <w:sz w:val="22"/>
                <w:szCs w:val="22"/>
                <w:lang w:val="ro-MD"/>
              </w:rPr>
              <w:t>de la 12 decembrie 2020</w:t>
            </w:r>
            <w:r w:rsidRPr="007B4B28">
              <w:rPr>
                <w:color w:val="000000"/>
                <w:sz w:val="22"/>
                <w:szCs w:val="22"/>
                <w:lang w:val="ro-MD"/>
              </w:rPr>
              <w:t>, cu condiția ca nicio măsură provizorie menționată în capitolul X Titlului VI să nu fie pusă în aplicare de OST. În cazul în care Agenția recurge la această posibilitate, Titlului VI nu se aplică în zona de echilibrare aparținând respectivului OST în măsura și pe durata perioadei de tranziție stabilite în decizia Agenției.</w:t>
            </w:r>
          </w:p>
        </w:tc>
        <w:tc>
          <w:tcPr>
            <w:tcW w:w="1537" w:type="pct"/>
          </w:tcPr>
          <w:p w14:paraId="599EDDF0" w14:textId="3870E83C" w:rsidR="00004C82" w:rsidRPr="007B4B28" w:rsidRDefault="00004C82" w:rsidP="00335651">
            <w:pPr>
              <w:tabs>
                <w:tab w:val="left" w:pos="0"/>
                <w:tab w:val="left" w:pos="851"/>
              </w:tabs>
              <w:jc w:val="both"/>
              <w:rPr>
                <w:sz w:val="22"/>
                <w:szCs w:val="22"/>
                <w:lang w:val="ro-RO"/>
              </w:rPr>
            </w:pPr>
            <w:r w:rsidRPr="007B4B28">
              <w:rPr>
                <w:bCs/>
                <w:color w:val="000000"/>
                <w:sz w:val="22"/>
                <w:szCs w:val="22"/>
                <w:lang w:val="ro-MD"/>
              </w:rPr>
              <w:t>Cum se vor aplica prevederile Codului pentru celălalt OST, î</w:t>
            </w:r>
            <w:r w:rsidRPr="007B4B28">
              <w:rPr>
                <w:sz w:val="22"/>
                <w:szCs w:val="22"/>
                <w:lang w:val="ro-MD"/>
              </w:rPr>
              <w:t>n</w:t>
            </w:r>
            <w:r w:rsidRPr="007B4B28">
              <w:rPr>
                <w:sz w:val="22"/>
                <w:szCs w:val="22"/>
                <w:lang w:val="ro-RO"/>
              </w:rPr>
              <w:t xml:space="preserve"> cazul în care Agenția va permite unui OST conformarea cu </w:t>
            </w:r>
            <w:r w:rsidRPr="007B4B28">
              <w:rPr>
                <w:color w:val="000000"/>
                <w:sz w:val="22"/>
                <w:szCs w:val="22"/>
                <w:lang w:val="ro-MD"/>
              </w:rPr>
              <w:t xml:space="preserve">dispozițiile Titlului VI în termen de </w:t>
            </w:r>
            <w:r w:rsidRPr="007B4B28">
              <w:rPr>
                <w:b/>
                <w:color w:val="000000"/>
                <w:sz w:val="22"/>
                <w:szCs w:val="22"/>
                <w:lang w:val="ro-MD"/>
              </w:rPr>
              <w:t>24 de luni</w:t>
            </w:r>
            <w:r w:rsidRPr="007B4B28">
              <w:rPr>
                <w:color w:val="000000"/>
                <w:sz w:val="22"/>
                <w:szCs w:val="22"/>
                <w:lang w:val="ro-MD"/>
              </w:rPr>
              <w:t xml:space="preserve"> </w:t>
            </w:r>
            <w:r w:rsidRPr="007B4B28">
              <w:rPr>
                <w:b/>
                <w:color w:val="000000"/>
                <w:sz w:val="22"/>
                <w:szCs w:val="22"/>
                <w:lang w:val="ro-MD"/>
              </w:rPr>
              <w:t xml:space="preserve">de la 12 decembrie 2020, </w:t>
            </w:r>
            <w:r w:rsidRPr="007B4B28">
              <w:rPr>
                <w:bCs/>
                <w:color w:val="000000"/>
                <w:sz w:val="22"/>
                <w:szCs w:val="22"/>
                <w:lang w:val="ro-MD"/>
              </w:rPr>
              <w:t>având în vedere că există o singură zonă de echilibrare.</w:t>
            </w:r>
          </w:p>
        </w:tc>
        <w:tc>
          <w:tcPr>
            <w:cnfStyle w:val="000100000000" w:firstRow="0" w:lastRow="0" w:firstColumn="0" w:lastColumn="1" w:oddVBand="0" w:evenVBand="0" w:oddHBand="0" w:evenHBand="0" w:firstRowFirstColumn="0" w:firstRowLastColumn="0" w:lastRowFirstColumn="0" w:lastRowLastColumn="0"/>
            <w:tcW w:w="1060" w:type="pct"/>
          </w:tcPr>
          <w:p w14:paraId="3EB51C46" w14:textId="70C43DAE" w:rsidR="00004C82" w:rsidRPr="009537E2" w:rsidRDefault="009537E2" w:rsidP="008A3E25">
            <w:pPr>
              <w:jc w:val="both"/>
              <w:rPr>
                <w:b w:val="0"/>
                <w:sz w:val="22"/>
                <w:szCs w:val="22"/>
                <w:highlight w:val="yellow"/>
                <w:lang w:val="ro-MD"/>
              </w:rPr>
            </w:pPr>
            <w:r w:rsidRPr="009537E2">
              <w:rPr>
                <w:b w:val="0"/>
                <w:sz w:val="22"/>
                <w:szCs w:val="22"/>
                <w:lang w:val="ro-MD"/>
              </w:rPr>
              <w:t>Nu este clară propunerea</w:t>
            </w:r>
          </w:p>
        </w:tc>
      </w:tr>
      <w:tr w:rsidR="00004C82" w:rsidRPr="00511A6A" w14:paraId="1DA0563E" w14:textId="77777777" w:rsidTr="007B4B28">
        <w:trPr>
          <w:trHeight w:val="70"/>
        </w:trPr>
        <w:tc>
          <w:tcPr>
            <w:tcW w:w="339" w:type="pct"/>
          </w:tcPr>
          <w:p w14:paraId="0147A5EB" w14:textId="77777777" w:rsidR="00004C82" w:rsidRPr="007B4B28" w:rsidRDefault="00004C82" w:rsidP="00BB1A04">
            <w:pPr>
              <w:rPr>
                <w:sz w:val="22"/>
                <w:szCs w:val="22"/>
                <w:lang w:val="ro-RO"/>
              </w:rPr>
            </w:pPr>
          </w:p>
        </w:tc>
        <w:tc>
          <w:tcPr>
            <w:tcW w:w="536" w:type="pct"/>
          </w:tcPr>
          <w:p w14:paraId="34B4CCDD" w14:textId="320F9DD1" w:rsidR="00004C82" w:rsidRPr="007B4B28" w:rsidRDefault="00004C82" w:rsidP="00335651">
            <w:pPr>
              <w:rPr>
                <w:sz w:val="22"/>
                <w:szCs w:val="22"/>
                <w:lang w:val="en-GB"/>
              </w:rPr>
            </w:pPr>
            <w:r w:rsidRPr="007B4B28">
              <w:rPr>
                <w:sz w:val="22"/>
                <w:szCs w:val="22"/>
                <w:lang w:val="en-GB"/>
              </w:rPr>
              <w:t>SRL</w:t>
            </w:r>
            <w:r w:rsidR="009537E2">
              <w:rPr>
                <w:sz w:val="22"/>
                <w:szCs w:val="22"/>
                <w:lang w:val="en-GB"/>
              </w:rPr>
              <w:t xml:space="preserve"> </w:t>
            </w:r>
            <w:r w:rsidRPr="007B4B28">
              <w:rPr>
                <w:sz w:val="22"/>
                <w:szCs w:val="22"/>
                <w:lang w:val="en-GB"/>
              </w:rPr>
              <w:t>”Vestmold</w:t>
            </w:r>
            <w:r w:rsidR="009537E2">
              <w:rPr>
                <w:sz w:val="22"/>
                <w:szCs w:val="22"/>
                <w:lang w:val="en-GB"/>
              </w:rPr>
              <w:t>-</w:t>
            </w:r>
            <w:r w:rsidRPr="007B4B28">
              <w:rPr>
                <w:sz w:val="22"/>
                <w:szCs w:val="22"/>
                <w:lang w:val="en-GB"/>
              </w:rPr>
              <w:t>transgaz”</w:t>
            </w:r>
          </w:p>
        </w:tc>
        <w:tc>
          <w:tcPr>
            <w:tcW w:w="3065" w:type="pct"/>
            <w:gridSpan w:val="2"/>
          </w:tcPr>
          <w:p w14:paraId="5B08B09F" w14:textId="614F90AD" w:rsidR="00004C82" w:rsidRPr="00356C29" w:rsidRDefault="00004C82" w:rsidP="008A3E25">
            <w:pPr>
              <w:jc w:val="both"/>
              <w:rPr>
                <w:sz w:val="22"/>
                <w:szCs w:val="22"/>
                <w:lang w:val="en-US"/>
              </w:rPr>
            </w:pPr>
            <w:r w:rsidRPr="007B4B28">
              <w:rPr>
                <w:sz w:val="22"/>
                <w:szCs w:val="22"/>
                <w:lang w:val="en-GB"/>
              </w:rPr>
              <w:t>De</w:t>
            </w:r>
            <w:r w:rsidRPr="00356C29">
              <w:rPr>
                <w:sz w:val="22"/>
                <w:szCs w:val="22"/>
                <w:lang w:val="en-US"/>
              </w:rPr>
              <w:t xml:space="preserve"> revizui</w:t>
            </w:r>
            <w:r w:rsidRPr="007B4B28">
              <w:rPr>
                <w:sz w:val="22"/>
                <w:szCs w:val="22"/>
                <w:lang w:val="en-GB"/>
              </w:rPr>
              <w:t>t</w:t>
            </w:r>
            <w:r w:rsidRPr="00356C29">
              <w:rPr>
                <w:sz w:val="22"/>
                <w:szCs w:val="22"/>
                <w:lang w:val="en-US"/>
              </w:rPr>
              <w:t xml:space="preserve"> punctel</w:t>
            </w:r>
            <w:r w:rsidRPr="007B4B28">
              <w:rPr>
                <w:sz w:val="22"/>
                <w:szCs w:val="22"/>
                <w:lang w:val="en-GB"/>
              </w:rPr>
              <w:t>e</w:t>
            </w:r>
            <w:r w:rsidRPr="00356C29">
              <w:rPr>
                <w:sz w:val="22"/>
                <w:szCs w:val="22"/>
                <w:lang w:val="en-US"/>
              </w:rPr>
              <w:t xml:space="preserve"> din Proiectul de Cod cu referințe la zonele de echilibrare, astfel încât să fie exclusă dubla interpretare, deoarece, în conformitate cu Regulile pieței gazelor naturale, aprobate prin H ANRE nr.534/2019 din 27.12.2019 – este</w:t>
            </w:r>
            <w:r w:rsidR="009537E2">
              <w:rPr>
                <w:sz w:val="22"/>
                <w:szCs w:val="22"/>
                <w:lang w:val="en-US"/>
              </w:rPr>
              <w:t xml:space="preserve"> o singură zona de echilibrare.</w:t>
            </w:r>
          </w:p>
        </w:tc>
        <w:tc>
          <w:tcPr>
            <w:cnfStyle w:val="000100000000" w:firstRow="0" w:lastRow="0" w:firstColumn="0" w:lastColumn="1" w:oddVBand="0" w:evenVBand="0" w:oddHBand="0" w:evenHBand="0" w:firstRowFirstColumn="0" w:firstRowLastColumn="0" w:lastRowFirstColumn="0" w:lastRowLastColumn="0"/>
            <w:tcW w:w="1060" w:type="pct"/>
          </w:tcPr>
          <w:p w14:paraId="776CA26E" w14:textId="7F16990B" w:rsidR="00891E48" w:rsidRPr="009537E2" w:rsidRDefault="009537E2" w:rsidP="009F3D29">
            <w:pPr>
              <w:jc w:val="both"/>
              <w:rPr>
                <w:b w:val="0"/>
                <w:sz w:val="22"/>
                <w:szCs w:val="22"/>
                <w:lang w:val="ro-MD"/>
              </w:rPr>
            </w:pPr>
            <w:r w:rsidRPr="009537E2">
              <w:rPr>
                <w:sz w:val="22"/>
                <w:szCs w:val="22"/>
                <w:lang w:val="ro-MD"/>
              </w:rPr>
              <w:t>Nu se acceptă.</w:t>
            </w:r>
            <w:r>
              <w:rPr>
                <w:b w:val="0"/>
                <w:sz w:val="22"/>
                <w:szCs w:val="22"/>
                <w:lang w:val="ro-MD"/>
              </w:rPr>
              <w:t xml:space="preserve"> Regulamentul</w:t>
            </w:r>
            <w:r w:rsidRPr="009537E2">
              <w:rPr>
                <w:b w:val="0"/>
                <w:sz w:val="22"/>
                <w:szCs w:val="22"/>
                <w:lang w:val="ro-MD"/>
              </w:rPr>
              <w:t xml:space="preserve"> se transpune fără a modifica conținutul și structura Regulamentului</w:t>
            </w:r>
            <w:r>
              <w:rPr>
                <w:b w:val="0"/>
                <w:sz w:val="22"/>
                <w:szCs w:val="22"/>
                <w:lang w:val="ro-MD"/>
              </w:rPr>
              <w:t xml:space="preserve"> UE</w:t>
            </w:r>
            <w:r w:rsidRPr="009537E2">
              <w:rPr>
                <w:b w:val="0"/>
                <w:sz w:val="22"/>
                <w:szCs w:val="22"/>
                <w:lang w:val="ro-MD"/>
              </w:rPr>
              <w:t xml:space="preserve"> </w:t>
            </w:r>
            <w:r w:rsidR="009F3D29">
              <w:rPr>
                <w:b w:val="0"/>
                <w:sz w:val="22"/>
                <w:szCs w:val="22"/>
                <w:lang w:val="ro-MD"/>
              </w:rPr>
              <w:t>3</w:t>
            </w:r>
            <w:r w:rsidRPr="009537E2">
              <w:rPr>
                <w:b w:val="0"/>
                <w:sz w:val="22"/>
                <w:szCs w:val="22"/>
                <w:lang w:val="ro-MD"/>
              </w:rPr>
              <w:t>12/2014</w:t>
            </w:r>
          </w:p>
        </w:tc>
      </w:tr>
      <w:tr w:rsidR="00004C82" w:rsidRPr="007B4B28" w14:paraId="2BEB6004" w14:textId="77777777" w:rsidTr="007B4B28">
        <w:trPr>
          <w:trHeight w:val="70"/>
        </w:trPr>
        <w:tc>
          <w:tcPr>
            <w:tcW w:w="339" w:type="pct"/>
          </w:tcPr>
          <w:p w14:paraId="6937875A" w14:textId="77777777" w:rsidR="00004C82" w:rsidRPr="007B4B28" w:rsidRDefault="00004C82" w:rsidP="00BB1A04">
            <w:pPr>
              <w:rPr>
                <w:sz w:val="22"/>
                <w:szCs w:val="22"/>
                <w:lang w:val="ro-RO"/>
              </w:rPr>
            </w:pPr>
          </w:p>
        </w:tc>
        <w:tc>
          <w:tcPr>
            <w:tcW w:w="536" w:type="pct"/>
          </w:tcPr>
          <w:p w14:paraId="12507AF0" w14:textId="3C5BA444" w:rsidR="00004C82" w:rsidRPr="007B4B28" w:rsidRDefault="00004C82" w:rsidP="00335651">
            <w:pPr>
              <w:rPr>
                <w:sz w:val="22"/>
                <w:szCs w:val="22"/>
                <w:lang w:val="en-GB"/>
              </w:rPr>
            </w:pPr>
            <w:r w:rsidRPr="007B4B28">
              <w:rPr>
                <w:sz w:val="22"/>
                <w:szCs w:val="22"/>
                <w:lang w:val="en-GB"/>
              </w:rPr>
              <w:t>SRL”Vestmoldtransgaz”</w:t>
            </w:r>
          </w:p>
        </w:tc>
        <w:tc>
          <w:tcPr>
            <w:tcW w:w="3065" w:type="pct"/>
            <w:gridSpan w:val="2"/>
          </w:tcPr>
          <w:p w14:paraId="34890A9A" w14:textId="13F44D79" w:rsidR="00004C82" w:rsidRPr="009537E2" w:rsidRDefault="00004C82" w:rsidP="008A3E25">
            <w:pPr>
              <w:jc w:val="both"/>
              <w:rPr>
                <w:sz w:val="22"/>
                <w:szCs w:val="22"/>
                <w:lang w:val="en-US"/>
              </w:rPr>
            </w:pPr>
            <w:r w:rsidRPr="007B4B28">
              <w:rPr>
                <w:sz w:val="22"/>
                <w:szCs w:val="22"/>
                <w:lang w:val="en-GB"/>
              </w:rPr>
              <w:t>D</w:t>
            </w:r>
            <w:r w:rsidRPr="00356C29">
              <w:rPr>
                <w:sz w:val="22"/>
                <w:szCs w:val="22"/>
                <w:lang w:val="en-US"/>
              </w:rPr>
              <w:t>etalierea în Proiectul de Cod, a procedurilor de lucru privind interacțiunea dintre părțile implic</w:t>
            </w:r>
            <w:r w:rsidR="009537E2">
              <w:rPr>
                <w:sz w:val="22"/>
                <w:szCs w:val="22"/>
                <w:lang w:val="en-US"/>
              </w:rPr>
              <w:t>ate în procesul de echilibrare;</w:t>
            </w:r>
          </w:p>
        </w:tc>
        <w:tc>
          <w:tcPr>
            <w:cnfStyle w:val="000100000000" w:firstRow="0" w:lastRow="0" w:firstColumn="0" w:lastColumn="1" w:oddVBand="0" w:evenVBand="0" w:oddHBand="0" w:evenHBand="0" w:firstRowFirstColumn="0" w:firstRowLastColumn="0" w:lastRowFirstColumn="0" w:lastRowLastColumn="0"/>
            <w:tcW w:w="1060" w:type="pct"/>
          </w:tcPr>
          <w:p w14:paraId="08687F61" w14:textId="42515B65" w:rsidR="00891E48" w:rsidRPr="009537E2" w:rsidRDefault="009537E2" w:rsidP="008E0AB4">
            <w:pPr>
              <w:jc w:val="both"/>
              <w:rPr>
                <w:b w:val="0"/>
                <w:sz w:val="22"/>
                <w:szCs w:val="22"/>
                <w:lang w:val="ro-MD"/>
              </w:rPr>
            </w:pPr>
            <w:r w:rsidRPr="009537E2">
              <w:rPr>
                <w:b w:val="0"/>
                <w:sz w:val="22"/>
                <w:szCs w:val="22"/>
                <w:lang w:val="ro-MD"/>
              </w:rPr>
              <w:t>Care sunt propunerile concrete?</w:t>
            </w:r>
          </w:p>
        </w:tc>
      </w:tr>
      <w:tr w:rsidR="00004C82" w:rsidRPr="007B4B28" w14:paraId="0E8E9FDC" w14:textId="77777777" w:rsidTr="007B4B28">
        <w:trPr>
          <w:trHeight w:val="70"/>
        </w:trPr>
        <w:tc>
          <w:tcPr>
            <w:tcW w:w="339" w:type="pct"/>
          </w:tcPr>
          <w:p w14:paraId="086C47A7" w14:textId="77777777" w:rsidR="00004C82" w:rsidRPr="007B4B28" w:rsidRDefault="00004C82" w:rsidP="00BB1A04">
            <w:pPr>
              <w:rPr>
                <w:sz w:val="22"/>
                <w:szCs w:val="22"/>
                <w:lang w:val="ro-RO"/>
              </w:rPr>
            </w:pPr>
          </w:p>
        </w:tc>
        <w:tc>
          <w:tcPr>
            <w:tcW w:w="536" w:type="pct"/>
          </w:tcPr>
          <w:p w14:paraId="3D0585BE" w14:textId="1716250E" w:rsidR="00004C82" w:rsidRPr="007B4B28" w:rsidRDefault="00004C82" w:rsidP="00BB1A04">
            <w:pPr>
              <w:rPr>
                <w:sz w:val="22"/>
                <w:szCs w:val="22"/>
                <w:lang w:val="en-GB"/>
              </w:rPr>
            </w:pPr>
            <w:r w:rsidRPr="007B4B28">
              <w:rPr>
                <w:sz w:val="22"/>
                <w:szCs w:val="22"/>
                <w:lang w:val="en-GB"/>
              </w:rPr>
              <w:t>SRL”Vestmoldtransgaz”</w:t>
            </w:r>
          </w:p>
        </w:tc>
        <w:tc>
          <w:tcPr>
            <w:tcW w:w="3065" w:type="pct"/>
            <w:gridSpan w:val="2"/>
          </w:tcPr>
          <w:p w14:paraId="5444B70D" w14:textId="1A1DA277" w:rsidR="00004C82" w:rsidRPr="00356C29" w:rsidRDefault="00004C82" w:rsidP="00335651">
            <w:pPr>
              <w:jc w:val="both"/>
              <w:rPr>
                <w:sz w:val="22"/>
                <w:szCs w:val="22"/>
                <w:lang w:val="en-US"/>
              </w:rPr>
            </w:pPr>
            <w:r w:rsidRPr="007B4B28">
              <w:rPr>
                <w:sz w:val="22"/>
                <w:szCs w:val="22"/>
                <w:lang w:val="en-GB"/>
              </w:rPr>
              <w:t>I</w:t>
            </w:r>
            <w:r w:rsidRPr="00356C29">
              <w:rPr>
                <w:sz w:val="22"/>
                <w:szCs w:val="22"/>
                <w:lang w:val="en-US"/>
              </w:rPr>
              <w:t>ntegrarea în Codul rețelei a aspectelor ce țin de echilibrarea sistemelor, prevăzute în Regulile pieței gazelor naturale și excluderea din ultimele, pen</w:t>
            </w:r>
            <w:r w:rsidR="009537E2">
              <w:rPr>
                <w:sz w:val="22"/>
                <w:szCs w:val="22"/>
                <w:lang w:val="en-US"/>
              </w:rPr>
              <w:t>tru evitarea dublării normelor.</w:t>
            </w:r>
          </w:p>
        </w:tc>
        <w:tc>
          <w:tcPr>
            <w:cnfStyle w:val="000100000000" w:firstRow="0" w:lastRow="0" w:firstColumn="0" w:lastColumn="1" w:oddVBand="0" w:evenVBand="0" w:oddHBand="0" w:evenHBand="0" w:firstRowFirstColumn="0" w:firstRowLastColumn="0" w:lastRowFirstColumn="0" w:lastRowLastColumn="0"/>
            <w:tcW w:w="1060" w:type="pct"/>
          </w:tcPr>
          <w:p w14:paraId="6B2F3EF1" w14:textId="53FCF07B" w:rsidR="00891E48" w:rsidRPr="007B4B28" w:rsidRDefault="00891E48" w:rsidP="008A3E25">
            <w:pPr>
              <w:jc w:val="both"/>
              <w:rPr>
                <w:sz w:val="22"/>
                <w:szCs w:val="22"/>
                <w:lang w:val="ro-MD"/>
              </w:rPr>
            </w:pPr>
            <w:r>
              <w:rPr>
                <w:sz w:val="22"/>
                <w:szCs w:val="22"/>
                <w:lang w:val="ro-MD"/>
              </w:rPr>
              <w:t>Se acceptă</w:t>
            </w:r>
          </w:p>
        </w:tc>
      </w:tr>
      <w:tr w:rsidR="00004C82" w:rsidRPr="00511A6A" w14:paraId="3CBDD0B2" w14:textId="77777777" w:rsidTr="001648D4">
        <w:tc>
          <w:tcPr>
            <w:tcW w:w="339" w:type="pct"/>
          </w:tcPr>
          <w:p w14:paraId="55F14F13" w14:textId="77777777" w:rsidR="00004C82" w:rsidRPr="007B4B28" w:rsidRDefault="00004C82" w:rsidP="00BB1A04">
            <w:pPr>
              <w:jc w:val="center"/>
              <w:rPr>
                <w:b/>
                <w:sz w:val="22"/>
                <w:szCs w:val="22"/>
                <w:lang w:val="ro-RO"/>
              </w:rPr>
            </w:pPr>
          </w:p>
        </w:tc>
        <w:tc>
          <w:tcPr>
            <w:tcW w:w="536" w:type="pct"/>
          </w:tcPr>
          <w:p w14:paraId="55916BF7" w14:textId="2977006F" w:rsidR="00004C82" w:rsidRPr="005F771C" w:rsidRDefault="00004C82" w:rsidP="0080755D">
            <w:pPr>
              <w:rPr>
                <w:b/>
                <w:sz w:val="22"/>
                <w:szCs w:val="22"/>
                <w:lang w:val="ro-RO"/>
              </w:rPr>
            </w:pPr>
            <w:r w:rsidRPr="005F771C">
              <w:rPr>
                <w:sz w:val="22"/>
                <w:szCs w:val="22"/>
                <w:lang w:val="ro-RO"/>
              </w:rPr>
              <w:t>SRL”Orhei-gaz”SRL”Cahul-gaz”</w:t>
            </w:r>
            <w:r w:rsidR="005F771C" w:rsidRPr="005F771C">
              <w:rPr>
                <w:b/>
                <w:sz w:val="22"/>
                <w:szCs w:val="22"/>
                <w:lang w:val="ro-RO"/>
              </w:rPr>
              <w:t xml:space="preserve"> </w:t>
            </w:r>
            <w:r w:rsidRPr="005F771C">
              <w:rPr>
                <w:sz w:val="22"/>
                <w:szCs w:val="22"/>
                <w:lang w:val="ro-RO"/>
              </w:rPr>
              <w:t>SRL”Floreşti- gaz”</w:t>
            </w:r>
            <w:r w:rsidR="005F771C" w:rsidRPr="005F771C">
              <w:rPr>
                <w:b/>
                <w:sz w:val="22"/>
                <w:szCs w:val="22"/>
                <w:lang w:val="ro-RO"/>
              </w:rPr>
              <w:t xml:space="preserve"> </w:t>
            </w:r>
            <w:r w:rsidRPr="005F771C">
              <w:rPr>
                <w:sz w:val="22"/>
                <w:szCs w:val="22"/>
                <w:lang w:val="ro-RO"/>
              </w:rPr>
              <w:t>SRL”Nord Gaz-Sîngerei”</w:t>
            </w:r>
          </w:p>
          <w:p w14:paraId="2573624C" w14:textId="4E25FA80" w:rsidR="009E56E9" w:rsidRPr="007B4B28" w:rsidRDefault="009E56E9" w:rsidP="008A3E25">
            <w:pPr>
              <w:rPr>
                <w:sz w:val="22"/>
                <w:szCs w:val="22"/>
                <w:lang w:val="en-GB"/>
              </w:rPr>
            </w:pPr>
            <w:r>
              <w:rPr>
                <w:sz w:val="22"/>
                <w:szCs w:val="22"/>
                <w:lang w:val="en-GB"/>
              </w:rPr>
              <w:t>SRL Cimișlia-gaz</w:t>
            </w:r>
          </w:p>
        </w:tc>
        <w:tc>
          <w:tcPr>
            <w:tcW w:w="3065" w:type="pct"/>
            <w:gridSpan w:val="2"/>
          </w:tcPr>
          <w:p w14:paraId="10E8D523" w14:textId="77777777" w:rsidR="00004C82" w:rsidRDefault="00004C82" w:rsidP="00C45E6F">
            <w:pPr>
              <w:pStyle w:val="cris"/>
              <w:numPr>
                <w:ilvl w:val="0"/>
                <w:numId w:val="0"/>
              </w:numPr>
              <w:tabs>
                <w:tab w:val="clear" w:pos="426"/>
                <w:tab w:val="clear" w:pos="993"/>
              </w:tabs>
              <w:spacing w:after="0"/>
              <w:contextualSpacing w:val="0"/>
              <w:jc w:val="center"/>
              <w:rPr>
                <w:sz w:val="22"/>
                <w:szCs w:val="22"/>
                <w:lang w:val="en-GB"/>
              </w:rPr>
            </w:pPr>
            <w:r w:rsidRPr="007B4B28">
              <w:rPr>
                <w:sz w:val="22"/>
                <w:szCs w:val="22"/>
                <w:lang w:val="en-GB"/>
              </w:rPr>
              <w:t>Lipsa de propuneri și obiecții</w:t>
            </w:r>
          </w:p>
          <w:p w14:paraId="6424DC0C" w14:textId="77777777" w:rsidR="009E56E9" w:rsidRDefault="009E56E9" w:rsidP="008E0AB4">
            <w:pPr>
              <w:pStyle w:val="cris"/>
              <w:numPr>
                <w:ilvl w:val="0"/>
                <w:numId w:val="0"/>
              </w:numPr>
              <w:tabs>
                <w:tab w:val="clear" w:pos="426"/>
                <w:tab w:val="clear" w:pos="993"/>
              </w:tabs>
              <w:spacing w:after="0"/>
              <w:contextualSpacing w:val="0"/>
              <w:jc w:val="center"/>
              <w:rPr>
                <w:sz w:val="22"/>
                <w:szCs w:val="22"/>
                <w:lang w:val="en-GB"/>
              </w:rPr>
            </w:pPr>
          </w:p>
          <w:p w14:paraId="0096B628" w14:textId="77777777" w:rsidR="009E56E9" w:rsidRDefault="009E56E9" w:rsidP="00395552">
            <w:pPr>
              <w:pStyle w:val="cris"/>
              <w:numPr>
                <w:ilvl w:val="0"/>
                <w:numId w:val="0"/>
              </w:numPr>
              <w:tabs>
                <w:tab w:val="clear" w:pos="426"/>
                <w:tab w:val="clear" w:pos="993"/>
              </w:tabs>
              <w:spacing w:after="0"/>
              <w:contextualSpacing w:val="0"/>
              <w:jc w:val="center"/>
              <w:rPr>
                <w:sz w:val="22"/>
                <w:szCs w:val="22"/>
                <w:lang w:val="en-GB"/>
              </w:rPr>
            </w:pPr>
          </w:p>
          <w:p w14:paraId="78CCB2A6" w14:textId="77777777" w:rsidR="009E56E9" w:rsidRDefault="009E56E9" w:rsidP="00395552">
            <w:pPr>
              <w:pStyle w:val="cris"/>
              <w:numPr>
                <w:ilvl w:val="0"/>
                <w:numId w:val="0"/>
              </w:numPr>
              <w:tabs>
                <w:tab w:val="clear" w:pos="426"/>
                <w:tab w:val="clear" w:pos="993"/>
              </w:tabs>
              <w:spacing w:after="0"/>
              <w:contextualSpacing w:val="0"/>
              <w:jc w:val="center"/>
              <w:rPr>
                <w:sz w:val="22"/>
                <w:szCs w:val="22"/>
                <w:lang w:val="en-GB"/>
              </w:rPr>
            </w:pPr>
          </w:p>
          <w:p w14:paraId="1C1DBA0D" w14:textId="77777777" w:rsidR="009E56E9" w:rsidRDefault="009E56E9" w:rsidP="00EF13E1">
            <w:pPr>
              <w:pStyle w:val="cris"/>
              <w:numPr>
                <w:ilvl w:val="0"/>
                <w:numId w:val="0"/>
              </w:numPr>
              <w:tabs>
                <w:tab w:val="clear" w:pos="426"/>
                <w:tab w:val="clear" w:pos="993"/>
              </w:tabs>
              <w:spacing w:after="0"/>
              <w:contextualSpacing w:val="0"/>
              <w:jc w:val="center"/>
              <w:rPr>
                <w:sz w:val="22"/>
                <w:szCs w:val="22"/>
                <w:lang w:val="en-GB"/>
              </w:rPr>
            </w:pPr>
          </w:p>
          <w:p w14:paraId="4F890CC5" w14:textId="77777777" w:rsidR="009E56E9" w:rsidRDefault="009E56E9" w:rsidP="00FD1806">
            <w:pPr>
              <w:pStyle w:val="cris"/>
              <w:numPr>
                <w:ilvl w:val="0"/>
                <w:numId w:val="0"/>
              </w:numPr>
              <w:tabs>
                <w:tab w:val="clear" w:pos="426"/>
                <w:tab w:val="clear" w:pos="993"/>
              </w:tabs>
              <w:spacing w:after="0"/>
              <w:contextualSpacing w:val="0"/>
              <w:jc w:val="center"/>
              <w:rPr>
                <w:sz w:val="22"/>
                <w:szCs w:val="22"/>
                <w:lang w:val="en-GB"/>
              </w:rPr>
            </w:pPr>
          </w:p>
          <w:p w14:paraId="53F09132" w14:textId="7F73FB27" w:rsidR="009E56E9" w:rsidRDefault="009E56E9" w:rsidP="005F771C">
            <w:pPr>
              <w:pStyle w:val="cris"/>
              <w:numPr>
                <w:ilvl w:val="0"/>
                <w:numId w:val="0"/>
              </w:numPr>
              <w:tabs>
                <w:tab w:val="clear" w:pos="426"/>
                <w:tab w:val="clear" w:pos="993"/>
              </w:tabs>
              <w:spacing w:after="0"/>
              <w:contextualSpacing w:val="0"/>
              <w:rPr>
                <w:sz w:val="22"/>
                <w:szCs w:val="22"/>
                <w:lang w:val="en-GB"/>
              </w:rPr>
            </w:pPr>
          </w:p>
          <w:p w14:paraId="60F3D8D5" w14:textId="77777777" w:rsidR="009E56E9" w:rsidRDefault="009E56E9" w:rsidP="0077698B">
            <w:pPr>
              <w:pStyle w:val="cris"/>
              <w:numPr>
                <w:ilvl w:val="0"/>
                <w:numId w:val="0"/>
              </w:numPr>
              <w:tabs>
                <w:tab w:val="clear" w:pos="426"/>
                <w:tab w:val="clear" w:pos="993"/>
              </w:tabs>
              <w:spacing w:after="0"/>
              <w:contextualSpacing w:val="0"/>
              <w:jc w:val="center"/>
              <w:rPr>
                <w:sz w:val="22"/>
                <w:szCs w:val="22"/>
                <w:lang w:val="en-GB"/>
              </w:rPr>
            </w:pPr>
          </w:p>
          <w:p w14:paraId="57531DD7" w14:textId="687F7284" w:rsidR="009E56E9" w:rsidRPr="007B4B28" w:rsidRDefault="009E56E9" w:rsidP="0077698B">
            <w:pPr>
              <w:pStyle w:val="cris"/>
              <w:numPr>
                <w:ilvl w:val="0"/>
                <w:numId w:val="0"/>
              </w:numPr>
              <w:tabs>
                <w:tab w:val="clear" w:pos="426"/>
                <w:tab w:val="clear" w:pos="993"/>
              </w:tabs>
              <w:spacing w:after="0"/>
              <w:contextualSpacing w:val="0"/>
              <w:rPr>
                <w:sz w:val="22"/>
                <w:szCs w:val="22"/>
              </w:rPr>
            </w:pPr>
            <w:r>
              <w:rPr>
                <w:sz w:val="22"/>
                <w:szCs w:val="22"/>
                <w:lang w:val="en-GB"/>
              </w:rPr>
              <w:t xml:space="preserve">                                                       Lipsa de propuneri și obiecții.</w:t>
            </w:r>
          </w:p>
        </w:tc>
        <w:tc>
          <w:tcPr>
            <w:cnfStyle w:val="000100000000" w:firstRow="0" w:lastRow="0" w:firstColumn="0" w:lastColumn="1" w:oddVBand="0" w:evenVBand="0" w:oddHBand="0" w:evenHBand="0" w:firstRowFirstColumn="0" w:firstRowLastColumn="0" w:lastRowFirstColumn="0" w:lastRowLastColumn="0"/>
            <w:tcW w:w="1060" w:type="pct"/>
          </w:tcPr>
          <w:p w14:paraId="2AACA835" w14:textId="21953145" w:rsidR="00004C82" w:rsidRPr="007B4B28" w:rsidRDefault="00004C82" w:rsidP="004D7925">
            <w:pPr>
              <w:shd w:val="clear" w:color="auto" w:fill="FFFFFF" w:themeFill="background1"/>
              <w:rPr>
                <w:b w:val="0"/>
                <w:sz w:val="22"/>
                <w:szCs w:val="22"/>
                <w:lang w:val="ro-RO"/>
              </w:rPr>
            </w:pPr>
          </w:p>
        </w:tc>
      </w:tr>
      <w:tr w:rsidR="00004C82" w:rsidRPr="0079196D" w14:paraId="48805053" w14:textId="77777777" w:rsidTr="001648D4">
        <w:tc>
          <w:tcPr>
            <w:tcW w:w="339" w:type="pct"/>
          </w:tcPr>
          <w:p w14:paraId="3D446D19" w14:textId="77777777" w:rsidR="00004C82" w:rsidRPr="007B4B28" w:rsidRDefault="00004C82" w:rsidP="00BB1A04">
            <w:pPr>
              <w:jc w:val="center"/>
              <w:rPr>
                <w:b/>
                <w:sz w:val="22"/>
                <w:szCs w:val="22"/>
                <w:lang w:val="ro-RO"/>
              </w:rPr>
            </w:pPr>
          </w:p>
        </w:tc>
        <w:tc>
          <w:tcPr>
            <w:tcW w:w="536" w:type="pct"/>
          </w:tcPr>
          <w:p w14:paraId="051A2A35" w14:textId="19E50B8E" w:rsidR="00552897" w:rsidRPr="007B4B28" w:rsidRDefault="00004C82" w:rsidP="00335651">
            <w:pPr>
              <w:jc w:val="both"/>
              <w:rPr>
                <w:b/>
                <w:sz w:val="22"/>
                <w:szCs w:val="22"/>
                <w:lang w:val="ro-MD"/>
              </w:rPr>
            </w:pPr>
            <w:r w:rsidRPr="007B4B28">
              <w:rPr>
                <w:sz w:val="22"/>
                <w:szCs w:val="22"/>
                <w:lang w:val="en-GB"/>
              </w:rPr>
              <w:t>Confedera</w:t>
            </w:r>
            <w:r w:rsidRPr="007B4B28">
              <w:rPr>
                <w:sz w:val="22"/>
                <w:szCs w:val="22"/>
                <w:lang w:val="ro-MD"/>
              </w:rPr>
              <w:t xml:space="preserve">ţia Naţională a </w:t>
            </w:r>
            <w:r w:rsidRPr="007B4B28">
              <w:rPr>
                <w:sz w:val="22"/>
                <w:szCs w:val="22"/>
                <w:lang w:val="ro-MD"/>
              </w:rPr>
              <w:lastRenderedPageBreak/>
              <w:t>Sindicatelor din Moldova</w:t>
            </w:r>
            <w:r w:rsidR="00552897">
              <w:rPr>
                <w:sz w:val="22"/>
                <w:szCs w:val="22"/>
                <w:lang w:val="ro-MD"/>
              </w:rPr>
              <w:t>.</w:t>
            </w:r>
          </w:p>
        </w:tc>
        <w:tc>
          <w:tcPr>
            <w:tcW w:w="3065" w:type="pct"/>
            <w:gridSpan w:val="2"/>
          </w:tcPr>
          <w:p w14:paraId="4DBE0C6E" w14:textId="77777777" w:rsidR="00004C82" w:rsidRDefault="00004C82" w:rsidP="0080755D">
            <w:pPr>
              <w:pStyle w:val="cris"/>
              <w:numPr>
                <w:ilvl w:val="0"/>
                <w:numId w:val="0"/>
              </w:numPr>
              <w:tabs>
                <w:tab w:val="clear" w:pos="426"/>
                <w:tab w:val="clear" w:pos="993"/>
              </w:tabs>
              <w:spacing w:after="0"/>
              <w:contextualSpacing w:val="0"/>
              <w:jc w:val="center"/>
              <w:rPr>
                <w:sz w:val="22"/>
                <w:szCs w:val="22"/>
                <w:lang w:val="en-GB"/>
              </w:rPr>
            </w:pPr>
            <w:r w:rsidRPr="007B4B28">
              <w:rPr>
                <w:sz w:val="22"/>
                <w:szCs w:val="22"/>
                <w:lang w:val="en-GB"/>
              </w:rPr>
              <w:lastRenderedPageBreak/>
              <w:t>Lipsa de propuneri și obiecții</w:t>
            </w:r>
          </w:p>
          <w:p w14:paraId="1FF9B48B" w14:textId="77777777" w:rsidR="00552897" w:rsidRDefault="00552897" w:rsidP="008A3E25">
            <w:pPr>
              <w:pStyle w:val="cris"/>
              <w:numPr>
                <w:ilvl w:val="0"/>
                <w:numId w:val="0"/>
              </w:numPr>
              <w:tabs>
                <w:tab w:val="clear" w:pos="426"/>
                <w:tab w:val="clear" w:pos="993"/>
              </w:tabs>
              <w:spacing w:after="0"/>
              <w:contextualSpacing w:val="0"/>
              <w:jc w:val="center"/>
              <w:rPr>
                <w:sz w:val="22"/>
                <w:szCs w:val="22"/>
                <w:lang w:val="en-GB"/>
              </w:rPr>
            </w:pPr>
          </w:p>
          <w:p w14:paraId="0B27011D" w14:textId="77777777" w:rsidR="00552897" w:rsidRDefault="00552897" w:rsidP="00C45E6F">
            <w:pPr>
              <w:pStyle w:val="cris"/>
              <w:numPr>
                <w:ilvl w:val="0"/>
                <w:numId w:val="0"/>
              </w:numPr>
              <w:tabs>
                <w:tab w:val="clear" w:pos="426"/>
                <w:tab w:val="clear" w:pos="993"/>
              </w:tabs>
              <w:spacing w:after="0"/>
              <w:contextualSpacing w:val="0"/>
              <w:jc w:val="center"/>
              <w:rPr>
                <w:sz w:val="22"/>
                <w:szCs w:val="22"/>
                <w:lang w:val="en-GB"/>
              </w:rPr>
            </w:pPr>
          </w:p>
          <w:p w14:paraId="0D75A5A7" w14:textId="77777777" w:rsidR="00552897" w:rsidRDefault="00552897" w:rsidP="008E0AB4">
            <w:pPr>
              <w:pStyle w:val="cris"/>
              <w:numPr>
                <w:ilvl w:val="0"/>
                <w:numId w:val="0"/>
              </w:numPr>
              <w:tabs>
                <w:tab w:val="clear" w:pos="426"/>
                <w:tab w:val="clear" w:pos="993"/>
              </w:tabs>
              <w:spacing w:after="0"/>
              <w:contextualSpacing w:val="0"/>
              <w:jc w:val="center"/>
              <w:rPr>
                <w:sz w:val="22"/>
                <w:szCs w:val="22"/>
                <w:lang w:val="en-GB"/>
              </w:rPr>
            </w:pPr>
          </w:p>
          <w:p w14:paraId="57D1E9BA" w14:textId="0ED08B5F" w:rsidR="00552897" w:rsidRPr="007B4B28" w:rsidRDefault="00552897" w:rsidP="00395552">
            <w:pPr>
              <w:pStyle w:val="cris"/>
              <w:numPr>
                <w:ilvl w:val="0"/>
                <w:numId w:val="0"/>
              </w:numPr>
              <w:tabs>
                <w:tab w:val="clear" w:pos="426"/>
                <w:tab w:val="clear" w:pos="993"/>
              </w:tabs>
              <w:spacing w:after="0"/>
              <w:contextualSpacing w:val="0"/>
              <w:rPr>
                <w:sz w:val="22"/>
                <w:szCs w:val="22"/>
                <w:lang w:val="en-GB"/>
              </w:rPr>
            </w:pPr>
          </w:p>
        </w:tc>
        <w:tc>
          <w:tcPr>
            <w:cnfStyle w:val="000100000000" w:firstRow="0" w:lastRow="0" w:firstColumn="0" w:lastColumn="1" w:oddVBand="0" w:evenVBand="0" w:oddHBand="0" w:evenHBand="0" w:firstRowFirstColumn="0" w:firstRowLastColumn="0" w:lastRowFirstColumn="0" w:lastRowLastColumn="0"/>
            <w:tcW w:w="1060" w:type="pct"/>
          </w:tcPr>
          <w:p w14:paraId="2B00606F" w14:textId="77777777" w:rsidR="00004C82" w:rsidRPr="007B4B28" w:rsidRDefault="00004C82" w:rsidP="00EF13E1">
            <w:pPr>
              <w:shd w:val="clear" w:color="auto" w:fill="FFFFFF" w:themeFill="background1"/>
              <w:rPr>
                <w:b w:val="0"/>
                <w:sz w:val="22"/>
                <w:szCs w:val="22"/>
                <w:lang w:val="ro-RO"/>
              </w:rPr>
            </w:pPr>
          </w:p>
        </w:tc>
      </w:tr>
      <w:tr w:rsidR="009E7F7A" w:rsidRPr="0079196D" w14:paraId="2D8A477B" w14:textId="77777777" w:rsidTr="001648D4">
        <w:tc>
          <w:tcPr>
            <w:tcW w:w="339" w:type="pct"/>
          </w:tcPr>
          <w:p w14:paraId="73ED27A0" w14:textId="77777777" w:rsidR="009E7F7A" w:rsidRPr="007B4B28" w:rsidRDefault="009E7F7A" w:rsidP="00BB1A04">
            <w:pPr>
              <w:jc w:val="center"/>
              <w:rPr>
                <w:b/>
                <w:sz w:val="22"/>
                <w:szCs w:val="22"/>
                <w:lang w:val="ro-RO"/>
              </w:rPr>
            </w:pPr>
          </w:p>
        </w:tc>
        <w:tc>
          <w:tcPr>
            <w:tcW w:w="536" w:type="pct"/>
          </w:tcPr>
          <w:p w14:paraId="6C162A58" w14:textId="0A6DF7C7" w:rsidR="009E7F7A" w:rsidRPr="007B4B28" w:rsidRDefault="009E7F7A" w:rsidP="00BB1A04">
            <w:pPr>
              <w:jc w:val="both"/>
              <w:rPr>
                <w:sz w:val="22"/>
                <w:szCs w:val="22"/>
                <w:lang w:val="en-GB"/>
              </w:rPr>
            </w:pPr>
            <w:r>
              <w:rPr>
                <w:sz w:val="22"/>
                <w:szCs w:val="22"/>
                <w:lang w:val="en-GB"/>
              </w:rPr>
              <w:t>Consiliul Concurenţei</w:t>
            </w:r>
          </w:p>
        </w:tc>
        <w:tc>
          <w:tcPr>
            <w:tcW w:w="3065" w:type="pct"/>
            <w:gridSpan w:val="2"/>
          </w:tcPr>
          <w:p w14:paraId="419504BA" w14:textId="77777777" w:rsidR="009E7F7A" w:rsidRDefault="009E7F7A" w:rsidP="00BB1A04">
            <w:pPr>
              <w:pStyle w:val="cris"/>
              <w:numPr>
                <w:ilvl w:val="0"/>
                <w:numId w:val="0"/>
              </w:numPr>
              <w:tabs>
                <w:tab w:val="clear" w:pos="426"/>
                <w:tab w:val="clear" w:pos="993"/>
              </w:tabs>
              <w:spacing w:after="0"/>
              <w:contextualSpacing w:val="0"/>
              <w:jc w:val="center"/>
              <w:rPr>
                <w:sz w:val="22"/>
                <w:szCs w:val="22"/>
                <w:lang w:val="en-GB"/>
              </w:rPr>
            </w:pPr>
            <w:r w:rsidRPr="007B4B28">
              <w:rPr>
                <w:sz w:val="22"/>
                <w:szCs w:val="22"/>
                <w:lang w:val="en-GB"/>
              </w:rPr>
              <w:t>Lipsa de propuneri și obiecții</w:t>
            </w:r>
          </w:p>
          <w:p w14:paraId="296370AD" w14:textId="77777777" w:rsidR="009E7F7A" w:rsidRPr="007B4B28" w:rsidRDefault="009E7F7A" w:rsidP="00335651">
            <w:pPr>
              <w:pStyle w:val="cris"/>
              <w:numPr>
                <w:ilvl w:val="0"/>
                <w:numId w:val="0"/>
              </w:numPr>
              <w:tabs>
                <w:tab w:val="clear" w:pos="426"/>
                <w:tab w:val="clear" w:pos="993"/>
              </w:tabs>
              <w:spacing w:after="0"/>
              <w:contextualSpacing w:val="0"/>
              <w:jc w:val="center"/>
              <w:rPr>
                <w:sz w:val="22"/>
                <w:szCs w:val="22"/>
                <w:lang w:val="en-GB"/>
              </w:rPr>
            </w:pPr>
          </w:p>
        </w:tc>
        <w:tc>
          <w:tcPr>
            <w:cnfStyle w:val="000100000000" w:firstRow="0" w:lastRow="0" w:firstColumn="0" w:lastColumn="1" w:oddVBand="0" w:evenVBand="0" w:oddHBand="0" w:evenHBand="0" w:firstRowFirstColumn="0" w:firstRowLastColumn="0" w:lastRowFirstColumn="0" w:lastRowLastColumn="0"/>
            <w:tcW w:w="1060" w:type="pct"/>
          </w:tcPr>
          <w:p w14:paraId="66E65651" w14:textId="77777777" w:rsidR="009E7F7A" w:rsidRPr="007B4B28" w:rsidRDefault="009E7F7A" w:rsidP="0080755D">
            <w:pPr>
              <w:shd w:val="clear" w:color="auto" w:fill="FFFFFF" w:themeFill="background1"/>
              <w:rPr>
                <w:b w:val="0"/>
                <w:sz w:val="22"/>
                <w:szCs w:val="22"/>
                <w:lang w:val="ro-RO"/>
              </w:rPr>
            </w:pPr>
          </w:p>
        </w:tc>
      </w:tr>
      <w:tr w:rsidR="009E7F7A" w:rsidRPr="0079196D" w14:paraId="45DC9F48" w14:textId="77777777" w:rsidTr="001648D4">
        <w:tc>
          <w:tcPr>
            <w:tcW w:w="339" w:type="pct"/>
          </w:tcPr>
          <w:p w14:paraId="231B185E" w14:textId="77777777" w:rsidR="009E7F7A" w:rsidRPr="007B4B28" w:rsidRDefault="009E7F7A" w:rsidP="00BB1A04">
            <w:pPr>
              <w:jc w:val="center"/>
              <w:rPr>
                <w:b/>
                <w:sz w:val="22"/>
                <w:szCs w:val="22"/>
                <w:lang w:val="ro-RO"/>
              </w:rPr>
            </w:pPr>
          </w:p>
        </w:tc>
        <w:tc>
          <w:tcPr>
            <w:tcW w:w="536" w:type="pct"/>
          </w:tcPr>
          <w:p w14:paraId="618285E5" w14:textId="7686E26E" w:rsidR="009E7F7A" w:rsidRPr="007B4B28" w:rsidRDefault="009E7F7A" w:rsidP="00BB1A04">
            <w:pPr>
              <w:jc w:val="both"/>
              <w:rPr>
                <w:sz w:val="22"/>
                <w:szCs w:val="22"/>
                <w:lang w:val="en-GB"/>
              </w:rPr>
            </w:pPr>
            <w:r>
              <w:rPr>
                <w:sz w:val="22"/>
                <w:szCs w:val="22"/>
                <w:lang w:val="ro-MD"/>
              </w:rPr>
              <w:t>Ministerul Economiei și Infrastructurii al Republicii Moldova</w:t>
            </w:r>
          </w:p>
        </w:tc>
        <w:tc>
          <w:tcPr>
            <w:tcW w:w="3065" w:type="pct"/>
            <w:gridSpan w:val="2"/>
          </w:tcPr>
          <w:p w14:paraId="08FC7481" w14:textId="77777777" w:rsidR="009E7F7A" w:rsidRDefault="009E7F7A" w:rsidP="00BB1A04">
            <w:pPr>
              <w:pStyle w:val="cris"/>
              <w:numPr>
                <w:ilvl w:val="0"/>
                <w:numId w:val="0"/>
              </w:numPr>
              <w:tabs>
                <w:tab w:val="clear" w:pos="426"/>
                <w:tab w:val="clear" w:pos="993"/>
              </w:tabs>
              <w:spacing w:after="0"/>
              <w:contextualSpacing w:val="0"/>
              <w:jc w:val="center"/>
              <w:rPr>
                <w:sz w:val="22"/>
                <w:szCs w:val="22"/>
                <w:lang w:val="en-GB"/>
              </w:rPr>
            </w:pPr>
            <w:r w:rsidRPr="007B4B28">
              <w:rPr>
                <w:sz w:val="22"/>
                <w:szCs w:val="22"/>
                <w:lang w:val="en-GB"/>
              </w:rPr>
              <w:t>Lipsa de propuneri și obiecții</w:t>
            </w:r>
          </w:p>
          <w:p w14:paraId="580E2991" w14:textId="77777777" w:rsidR="009E7F7A" w:rsidRDefault="009E7F7A" w:rsidP="00335651">
            <w:pPr>
              <w:pStyle w:val="cris"/>
              <w:numPr>
                <w:ilvl w:val="0"/>
                <w:numId w:val="0"/>
              </w:numPr>
              <w:tabs>
                <w:tab w:val="clear" w:pos="426"/>
                <w:tab w:val="clear" w:pos="993"/>
              </w:tabs>
              <w:spacing w:after="0"/>
              <w:contextualSpacing w:val="0"/>
              <w:jc w:val="center"/>
              <w:rPr>
                <w:sz w:val="22"/>
                <w:szCs w:val="22"/>
                <w:lang w:val="en-GB"/>
              </w:rPr>
            </w:pPr>
          </w:p>
          <w:p w14:paraId="6757816C" w14:textId="77777777" w:rsidR="009E7F7A" w:rsidRPr="007B4B28" w:rsidRDefault="009E7F7A" w:rsidP="0080755D">
            <w:pPr>
              <w:pStyle w:val="cris"/>
              <w:numPr>
                <w:ilvl w:val="0"/>
                <w:numId w:val="0"/>
              </w:numPr>
              <w:tabs>
                <w:tab w:val="clear" w:pos="426"/>
                <w:tab w:val="clear" w:pos="993"/>
              </w:tabs>
              <w:spacing w:after="0"/>
              <w:contextualSpacing w:val="0"/>
              <w:jc w:val="center"/>
              <w:rPr>
                <w:sz w:val="22"/>
                <w:szCs w:val="22"/>
                <w:lang w:val="en-GB"/>
              </w:rPr>
            </w:pPr>
          </w:p>
        </w:tc>
        <w:tc>
          <w:tcPr>
            <w:cnfStyle w:val="000100000000" w:firstRow="0" w:lastRow="0" w:firstColumn="0" w:lastColumn="1" w:oddVBand="0" w:evenVBand="0" w:oddHBand="0" w:evenHBand="0" w:firstRowFirstColumn="0" w:firstRowLastColumn="0" w:lastRowFirstColumn="0" w:lastRowLastColumn="0"/>
            <w:tcW w:w="1060" w:type="pct"/>
          </w:tcPr>
          <w:p w14:paraId="230D0745" w14:textId="77777777" w:rsidR="009E7F7A" w:rsidRPr="007B4B28" w:rsidRDefault="009E7F7A" w:rsidP="008A3E25">
            <w:pPr>
              <w:shd w:val="clear" w:color="auto" w:fill="FFFFFF" w:themeFill="background1"/>
              <w:rPr>
                <w:b w:val="0"/>
                <w:sz w:val="22"/>
                <w:szCs w:val="22"/>
                <w:lang w:val="ro-RO"/>
              </w:rPr>
            </w:pPr>
          </w:p>
        </w:tc>
      </w:tr>
      <w:tr w:rsidR="00D072E4" w:rsidRPr="0079196D" w14:paraId="2AF8B1C8" w14:textId="77777777" w:rsidTr="001648D4">
        <w:tc>
          <w:tcPr>
            <w:tcW w:w="339" w:type="pct"/>
          </w:tcPr>
          <w:p w14:paraId="4F341370" w14:textId="77777777" w:rsidR="00D072E4" w:rsidRPr="007B4B28" w:rsidRDefault="00D072E4" w:rsidP="00BB1A04">
            <w:pPr>
              <w:jc w:val="center"/>
              <w:rPr>
                <w:b/>
                <w:sz w:val="22"/>
                <w:szCs w:val="22"/>
                <w:lang w:val="ro-RO"/>
              </w:rPr>
            </w:pPr>
          </w:p>
        </w:tc>
        <w:tc>
          <w:tcPr>
            <w:tcW w:w="536" w:type="pct"/>
          </w:tcPr>
          <w:p w14:paraId="1BDA7D2A" w14:textId="6EFD1DAF" w:rsidR="00D072E4" w:rsidRPr="000D11B7" w:rsidRDefault="00D072E4" w:rsidP="00BB1A04">
            <w:pPr>
              <w:jc w:val="both"/>
              <w:rPr>
                <w:sz w:val="22"/>
                <w:szCs w:val="22"/>
                <w:lang w:val="ro-MD"/>
              </w:rPr>
            </w:pPr>
            <w:r w:rsidRPr="000D11B7">
              <w:rPr>
                <w:sz w:val="22"/>
                <w:szCs w:val="22"/>
                <w:lang w:val="ro-MD"/>
              </w:rPr>
              <w:t>Cancelaria de Stat. Centrul de armonizare a legislaţiei</w:t>
            </w:r>
          </w:p>
        </w:tc>
        <w:tc>
          <w:tcPr>
            <w:tcW w:w="3065" w:type="pct"/>
            <w:gridSpan w:val="2"/>
          </w:tcPr>
          <w:p w14:paraId="2800870E" w14:textId="2F832A17" w:rsidR="00D072E4" w:rsidRPr="000D11B7" w:rsidRDefault="00B408ED" w:rsidP="00BB1A04">
            <w:pPr>
              <w:pStyle w:val="cris"/>
              <w:numPr>
                <w:ilvl w:val="0"/>
                <w:numId w:val="0"/>
              </w:numPr>
              <w:tabs>
                <w:tab w:val="clear" w:pos="426"/>
                <w:tab w:val="clear" w:pos="993"/>
              </w:tabs>
              <w:spacing w:after="0"/>
              <w:contextualSpacing w:val="0"/>
              <w:rPr>
                <w:sz w:val="22"/>
                <w:szCs w:val="22"/>
                <w:lang w:val="en-GB"/>
              </w:rPr>
            </w:pPr>
            <w:r w:rsidRPr="000D11B7">
              <w:rPr>
                <w:sz w:val="22"/>
                <w:szCs w:val="22"/>
                <w:lang w:val="en-GB"/>
              </w:rPr>
              <w:t>Se propune de</w:t>
            </w:r>
            <w:r w:rsidR="00D072E4" w:rsidRPr="000D11B7">
              <w:rPr>
                <w:sz w:val="22"/>
                <w:szCs w:val="22"/>
                <w:lang w:val="en-GB"/>
              </w:rPr>
              <w:t xml:space="preserve"> a include </w:t>
            </w:r>
            <w:r w:rsidRPr="000D11B7">
              <w:rPr>
                <w:sz w:val="22"/>
                <w:szCs w:val="22"/>
                <w:lang w:val="en-GB"/>
              </w:rPr>
              <w:t xml:space="preserve">clauza de armonizare în următoarea redacţie:”Prezenta Hotărăre transpune Regulamentul (UE) nr.312/2014 al Comisiei din 26 martie 2014 </w:t>
            </w:r>
            <w:hyperlink w:anchor="_bookmark5" w:history="1">
              <w:r w:rsidRPr="000D11B7">
                <w:rPr>
                  <w:bCs/>
                  <w:i/>
                  <w:sz w:val="22"/>
                  <w:szCs w:val="22"/>
                </w:rPr>
                <w:t xml:space="preserve"> de stabilire a unui cod de rețea</w:t>
              </w:r>
            </w:hyperlink>
            <w:r w:rsidRPr="000D11B7">
              <w:rPr>
                <w:bCs/>
                <w:i/>
                <w:sz w:val="22"/>
                <w:szCs w:val="22"/>
              </w:rPr>
              <w:t xml:space="preserve"> </w:t>
            </w:r>
            <w:hyperlink w:anchor="_bookmark5" w:history="1">
              <w:r w:rsidRPr="000D11B7">
                <w:rPr>
                  <w:bCs/>
                  <w:i/>
                  <w:sz w:val="22"/>
                  <w:szCs w:val="22"/>
                </w:rPr>
                <w:t>privind echilibrarea rețelelor de transport de gaz</w:t>
              </w:r>
            </w:hyperlink>
            <w:r w:rsidR="00A05CCF" w:rsidRPr="000D11B7">
              <w:rPr>
                <w:bCs/>
                <w:i/>
                <w:sz w:val="22"/>
                <w:szCs w:val="22"/>
              </w:rPr>
              <w:t xml:space="preserve"> (Text cu relevanţă pentru SEE)</w:t>
            </w:r>
            <w:r w:rsidRPr="000D11B7">
              <w:rPr>
                <w:bCs/>
                <w:i/>
                <w:sz w:val="22"/>
                <w:szCs w:val="22"/>
              </w:rPr>
              <w:t>, publicat în Jurnalul Oficial al Uniunii Europene L</w:t>
            </w:r>
            <w:r w:rsidR="00A05CCF" w:rsidRPr="000D11B7">
              <w:rPr>
                <w:bCs/>
                <w:i/>
                <w:sz w:val="22"/>
                <w:szCs w:val="22"/>
              </w:rPr>
              <w:t xml:space="preserve"> </w:t>
            </w:r>
            <w:r w:rsidRPr="000D11B7">
              <w:rPr>
                <w:bCs/>
                <w:i/>
                <w:sz w:val="22"/>
                <w:szCs w:val="22"/>
              </w:rPr>
              <w:t>91 din 27 martie 2014,</w:t>
            </w:r>
            <w:r w:rsidR="00A05CCF" w:rsidRPr="000D11B7">
              <w:rPr>
                <w:bCs/>
                <w:i/>
                <w:sz w:val="22"/>
                <w:szCs w:val="22"/>
              </w:rPr>
              <w:t xml:space="preserve"> încorporat şi</w:t>
            </w:r>
            <w:r w:rsidRPr="000D11B7">
              <w:rPr>
                <w:bCs/>
                <w:i/>
                <w:sz w:val="22"/>
                <w:szCs w:val="22"/>
              </w:rPr>
              <w:t xml:space="preserve"> adaptat prin Decizia Nr. 2019/01/PHLG-EnC al Grupului Permanent de Nivel Înalt al Comunităţii Energetice din 12 decembrie 2019 privind adoptarea Regulamentului (UE) Nr. </w:t>
            </w:r>
            <w:hyperlink w:anchor="_bookmark5" w:history="1">
              <w:r w:rsidRPr="000D11B7">
                <w:rPr>
                  <w:bCs/>
                  <w:i/>
                  <w:sz w:val="22"/>
                  <w:szCs w:val="22"/>
                </w:rPr>
                <w:t xml:space="preserve"> 312/2014 al Comisiei din 26 martie 2014 de stabilire a unui cod de rețea</w:t>
              </w:r>
            </w:hyperlink>
            <w:r w:rsidRPr="000D11B7">
              <w:rPr>
                <w:bCs/>
                <w:i/>
                <w:sz w:val="22"/>
                <w:szCs w:val="22"/>
              </w:rPr>
              <w:t xml:space="preserve"> </w:t>
            </w:r>
            <w:hyperlink w:anchor="_bookmark5" w:history="1">
              <w:r w:rsidRPr="000D11B7">
                <w:rPr>
                  <w:bCs/>
                  <w:i/>
                  <w:sz w:val="22"/>
                  <w:szCs w:val="22"/>
                </w:rPr>
                <w:t>privind echilibrarea rețelelor de transport de gaz</w:t>
              </w:r>
            </w:hyperlink>
            <w:r w:rsidRPr="000D11B7">
              <w:rPr>
                <w:bCs/>
                <w:sz w:val="22"/>
                <w:szCs w:val="22"/>
              </w:rPr>
              <w:t>”;</w:t>
            </w:r>
          </w:p>
        </w:tc>
        <w:tc>
          <w:tcPr>
            <w:cnfStyle w:val="000100000000" w:firstRow="0" w:lastRow="0" w:firstColumn="0" w:lastColumn="1" w:oddVBand="0" w:evenVBand="0" w:oddHBand="0" w:evenHBand="0" w:firstRowFirstColumn="0" w:firstRowLastColumn="0" w:lastRowFirstColumn="0" w:lastRowLastColumn="0"/>
            <w:tcW w:w="1060" w:type="pct"/>
          </w:tcPr>
          <w:p w14:paraId="3749F2E9" w14:textId="0DCB51BA" w:rsidR="00D072E4" w:rsidRPr="007B4B28" w:rsidRDefault="00F47092" w:rsidP="00335651">
            <w:pPr>
              <w:shd w:val="clear" w:color="auto" w:fill="FFFFFF" w:themeFill="background1"/>
              <w:rPr>
                <w:b w:val="0"/>
                <w:sz w:val="22"/>
                <w:szCs w:val="22"/>
                <w:lang w:val="ro-RO"/>
              </w:rPr>
            </w:pPr>
            <w:r>
              <w:rPr>
                <w:b w:val="0"/>
                <w:sz w:val="22"/>
                <w:szCs w:val="22"/>
                <w:lang w:val="ro-RO"/>
              </w:rPr>
              <w:t>Se acceptă</w:t>
            </w:r>
          </w:p>
        </w:tc>
      </w:tr>
      <w:tr w:rsidR="006A5D70" w:rsidRPr="00511A6A" w14:paraId="09181F49" w14:textId="77777777" w:rsidTr="006A5D70">
        <w:trPr>
          <w:trHeight w:val="70"/>
        </w:trPr>
        <w:tc>
          <w:tcPr>
            <w:tcW w:w="339" w:type="pct"/>
          </w:tcPr>
          <w:p w14:paraId="323C8448" w14:textId="68AB6A85" w:rsidR="006A5D70" w:rsidRPr="006A5D70" w:rsidRDefault="006A5D70" w:rsidP="00BB1A04">
            <w:pPr>
              <w:rPr>
                <w:sz w:val="22"/>
                <w:szCs w:val="22"/>
                <w:lang w:val="ro-RO"/>
              </w:rPr>
            </w:pPr>
            <w:r w:rsidRPr="006A5D70">
              <w:rPr>
                <w:sz w:val="22"/>
                <w:szCs w:val="22"/>
                <w:lang w:val="ro-RO"/>
              </w:rPr>
              <w:t>Sub.1</w:t>
            </w:r>
          </w:p>
        </w:tc>
        <w:tc>
          <w:tcPr>
            <w:tcW w:w="536" w:type="pct"/>
          </w:tcPr>
          <w:p w14:paraId="56AB8569" w14:textId="27947A95" w:rsidR="006A5D70" w:rsidRPr="006A5D70" w:rsidRDefault="006A5D70" w:rsidP="00BB1A04">
            <w:pPr>
              <w:rPr>
                <w:sz w:val="22"/>
                <w:szCs w:val="22"/>
                <w:lang w:val="en-GB"/>
              </w:rPr>
            </w:pPr>
            <w:r w:rsidRPr="006A5D70">
              <w:rPr>
                <w:sz w:val="22"/>
                <w:szCs w:val="22"/>
                <w:lang w:val="en-GB"/>
              </w:rPr>
              <w:t>Ministerul Justi</w:t>
            </w:r>
            <w:r w:rsidRPr="006A5D70">
              <w:rPr>
                <w:sz w:val="22"/>
                <w:szCs w:val="22"/>
                <w:lang w:val="ro-MD"/>
              </w:rPr>
              <w:t>ţ</w:t>
            </w:r>
            <w:r w:rsidRPr="006A5D70">
              <w:rPr>
                <w:sz w:val="22"/>
                <w:szCs w:val="22"/>
                <w:lang w:val="en-GB"/>
              </w:rPr>
              <w:t>iei</w:t>
            </w:r>
          </w:p>
        </w:tc>
        <w:tc>
          <w:tcPr>
            <w:tcW w:w="1528" w:type="pct"/>
          </w:tcPr>
          <w:p w14:paraId="75D3B144" w14:textId="77777777" w:rsidR="00F947EB" w:rsidRPr="00F947EB" w:rsidRDefault="00F947EB" w:rsidP="00714F77">
            <w:pPr>
              <w:pStyle w:val="ListParagraph"/>
              <w:spacing w:after="0" w:line="240" w:lineRule="auto"/>
              <w:ind w:left="1353"/>
              <w:jc w:val="right"/>
              <w:outlineLvl w:val="0"/>
              <w:rPr>
                <w:rFonts w:ascii="Times New Roman" w:hAnsi="Times New Roman"/>
                <w:i/>
                <w:color w:val="000000"/>
                <w:sz w:val="20"/>
                <w:szCs w:val="20"/>
                <w:lang w:val="ro-MD" w:eastAsia="ru-RU"/>
              </w:rPr>
            </w:pPr>
            <w:r w:rsidRPr="00F947EB">
              <w:rPr>
                <w:rFonts w:ascii="Times New Roman" w:hAnsi="Times New Roman"/>
                <w:i/>
                <w:color w:val="000000"/>
                <w:sz w:val="20"/>
                <w:szCs w:val="20"/>
                <w:lang w:val="ro-MD" w:eastAsia="ru-RU"/>
              </w:rPr>
              <w:t>Anexă la Hotărîrea</w:t>
            </w:r>
          </w:p>
          <w:p w14:paraId="55448639" w14:textId="77777777" w:rsidR="00F947EB" w:rsidRPr="00F947EB" w:rsidRDefault="00F947EB" w:rsidP="00714F77">
            <w:pPr>
              <w:pStyle w:val="ListParagraph"/>
              <w:spacing w:after="0" w:line="240" w:lineRule="auto"/>
              <w:ind w:left="1353"/>
              <w:jc w:val="right"/>
              <w:rPr>
                <w:rFonts w:ascii="Times New Roman" w:hAnsi="Times New Roman"/>
                <w:i/>
                <w:color w:val="000000"/>
                <w:sz w:val="20"/>
                <w:szCs w:val="20"/>
                <w:lang w:val="ro-MD" w:eastAsia="ru-RU"/>
              </w:rPr>
            </w:pPr>
            <w:r w:rsidRPr="00F947EB">
              <w:rPr>
                <w:rFonts w:ascii="Times New Roman" w:hAnsi="Times New Roman"/>
                <w:i/>
                <w:color w:val="000000"/>
                <w:sz w:val="20"/>
                <w:szCs w:val="20"/>
                <w:lang w:val="ro-MD" w:eastAsia="ru-RU"/>
              </w:rPr>
              <w:t>Consiliului de administrație ANRE</w:t>
            </w:r>
          </w:p>
          <w:p w14:paraId="40DE10C0" w14:textId="77777777" w:rsidR="00F947EB" w:rsidRPr="00F947EB" w:rsidRDefault="00F947EB" w:rsidP="00714F77">
            <w:pPr>
              <w:pStyle w:val="ListParagraph"/>
              <w:spacing w:after="0" w:line="240" w:lineRule="auto"/>
              <w:ind w:left="1353"/>
              <w:jc w:val="right"/>
              <w:rPr>
                <w:rFonts w:ascii="Times New Roman" w:hAnsi="Times New Roman"/>
                <w:i/>
                <w:color w:val="000000"/>
                <w:sz w:val="20"/>
                <w:szCs w:val="20"/>
                <w:lang w:val="ro-MD" w:eastAsia="ru-RU"/>
              </w:rPr>
            </w:pPr>
            <w:r w:rsidRPr="00F947EB">
              <w:rPr>
                <w:rFonts w:ascii="Times New Roman" w:hAnsi="Times New Roman"/>
                <w:i/>
                <w:color w:val="000000"/>
                <w:sz w:val="20"/>
                <w:szCs w:val="20"/>
                <w:lang w:val="ro-MD" w:eastAsia="ru-RU"/>
              </w:rPr>
              <w:t>nr.________</w:t>
            </w:r>
          </w:p>
          <w:p w14:paraId="0D2A0363" w14:textId="223559A3" w:rsidR="006A5D70" w:rsidRPr="006A5D70" w:rsidRDefault="00F947EB" w:rsidP="00BB1A04">
            <w:pPr>
              <w:pStyle w:val="NormalWeb"/>
              <w:tabs>
                <w:tab w:val="left" w:pos="851"/>
              </w:tabs>
              <w:ind w:firstLine="0"/>
              <w:rPr>
                <w:bCs/>
                <w:color w:val="000000"/>
                <w:sz w:val="22"/>
                <w:szCs w:val="22"/>
                <w:lang w:val="ro-MD"/>
              </w:rPr>
            </w:pPr>
            <w:r w:rsidRPr="00F947EB">
              <w:rPr>
                <w:i/>
                <w:color w:val="000000"/>
                <w:sz w:val="20"/>
                <w:szCs w:val="20"/>
                <w:lang w:val="ro-MD"/>
              </w:rPr>
              <w:t>din data de  ______________ 2020</w:t>
            </w:r>
          </w:p>
        </w:tc>
        <w:tc>
          <w:tcPr>
            <w:tcW w:w="1537" w:type="pct"/>
          </w:tcPr>
          <w:p w14:paraId="4587C089" w14:textId="77777777" w:rsidR="006A5D70" w:rsidRPr="006A5D70" w:rsidRDefault="006A5D70" w:rsidP="00BB1A04">
            <w:pPr>
              <w:jc w:val="both"/>
              <w:rPr>
                <w:sz w:val="22"/>
                <w:szCs w:val="22"/>
                <w:lang w:val="fr-FR"/>
              </w:rPr>
            </w:pPr>
            <w:r w:rsidRPr="006A5D70">
              <w:rPr>
                <w:sz w:val="22"/>
                <w:szCs w:val="22"/>
                <w:lang w:val="ro-RO"/>
              </w:rPr>
              <w:t>În parafa de aprobare cuvintele „Anexă la” se vor substitui cu cuvintele „Aprobate prin”.</w:t>
            </w:r>
          </w:p>
          <w:p w14:paraId="03F22403" w14:textId="59E29FA9" w:rsidR="006A5D70" w:rsidRPr="006A5D70" w:rsidRDefault="0025073D" w:rsidP="00BB1A04">
            <w:pPr>
              <w:tabs>
                <w:tab w:val="left" w:pos="567"/>
              </w:tabs>
              <w:jc w:val="both"/>
              <w:rPr>
                <w:sz w:val="22"/>
                <w:szCs w:val="22"/>
                <w:lang w:val="ro-RO"/>
              </w:rPr>
            </w:pPr>
            <w:r>
              <w:rPr>
                <w:sz w:val="22"/>
                <w:szCs w:val="22"/>
                <w:lang w:val="ro-RO"/>
              </w:rPr>
              <w:t>Totodată, anexa se va î</w:t>
            </w:r>
            <w:r w:rsidR="006A5D70" w:rsidRPr="006A5D70">
              <w:rPr>
                <w:sz w:val="22"/>
                <w:szCs w:val="22"/>
                <w:lang w:val="ro-RO"/>
              </w:rPr>
              <w:t>ntitula.</w:t>
            </w:r>
          </w:p>
          <w:p w14:paraId="1FD09235" w14:textId="6744608C" w:rsidR="006A5D70" w:rsidRPr="006A5D70" w:rsidRDefault="006A5D70" w:rsidP="00335651">
            <w:pPr>
              <w:tabs>
                <w:tab w:val="left" w:pos="0"/>
                <w:tab w:val="left" w:pos="851"/>
              </w:tabs>
              <w:jc w:val="both"/>
              <w:rPr>
                <w:sz w:val="22"/>
                <w:szCs w:val="22"/>
                <w:lang w:val="ro-RO"/>
              </w:rPr>
            </w:pPr>
          </w:p>
        </w:tc>
        <w:tc>
          <w:tcPr>
            <w:cnfStyle w:val="000100000000" w:firstRow="0" w:lastRow="0" w:firstColumn="0" w:lastColumn="1" w:oddVBand="0" w:evenVBand="0" w:oddHBand="0" w:evenHBand="0" w:firstRowFirstColumn="0" w:firstRowLastColumn="0" w:lastRowFirstColumn="0" w:lastRowLastColumn="0"/>
            <w:tcW w:w="1060" w:type="pct"/>
          </w:tcPr>
          <w:p w14:paraId="68225B5E" w14:textId="79D7CE97" w:rsidR="006A5D70" w:rsidRPr="004D7925" w:rsidRDefault="004D7925" w:rsidP="0080755D">
            <w:pPr>
              <w:jc w:val="both"/>
              <w:rPr>
                <w:b w:val="0"/>
                <w:sz w:val="22"/>
                <w:szCs w:val="22"/>
                <w:highlight w:val="yellow"/>
                <w:lang w:val="ro-MD"/>
              </w:rPr>
            </w:pPr>
            <w:r w:rsidRPr="004D7925">
              <w:rPr>
                <w:b w:val="0"/>
                <w:sz w:val="22"/>
                <w:szCs w:val="22"/>
                <w:lang w:val="ro-MD"/>
              </w:rPr>
              <w:t>Hotărărea de modificare a Codului Rețelelor</w:t>
            </w:r>
            <w:r>
              <w:rPr>
                <w:b w:val="0"/>
                <w:sz w:val="22"/>
                <w:szCs w:val="22"/>
                <w:lang w:val="ro-MD"/>
              </w:rPr>
              <w:t xml:space="preserve"> de gaze naturale</w:t>
            </w:r>
            <w:r w:rsidRPr="004D7925">
              <w:rPr>
                <w:b w:val="0"/>
                <w:sz w:val="22"/>
                <w:szCs w:val="22"/>
                <w:lang w:val="ro-MD"/>
              </w:rPr>
              <w:t xml:space="preserve"> nu va avea anexă.</w:t>
            </w:r>
          </w:p>
        </w:tc>
      </w:tr>
      <w:tr w:rsidR="00F947EB" w:rsidRPr="006A5D70" w14:paraId="0790CCDA" w14:textId="77777777" w:rsidTr="006A5D70">
        <w:trPr>
          <w:trHeight w:val="70"/>
        </w:trPr>
        <w:tc>
          <w:tcPr>
            <w:tcW w:w="339" w:type="pct"/>
          </w:tcPr>
          <w:p w14:paraId="126CB43B" w14:textId="4BE2A6F4" w:rsidR="00F947EB" w:rsidRPr="006A5D70" w:rsidRDefault="00F947EB" w:rsidP="00BB1A04">
            <w:pPr>
              <w:rPr>
                <w:sz w:val="22"/>
                <w:szCs w:val="22"/>
                <w:lang w:val="ro-RO"/>
              </w:rPr>
            </w:pPr>
            <w:r w:rsidRPr="006A5D70">
              <w:rPr>
                <w:sz w:val="22"/>
                <w:szCs w:val="22"/>
                <w:lang w:val="ro-RO"/>
              </w:rPr>
              <w:t>Sub.1</w:t>
            </w:r>
          </w:p>
        </w:tc>
        <w:tc>
          <w:tcPr>
            <w:tcW w:w="536" w:type="pct"/>
          </w:tcPr>
          <w:p w14:paraId="6F4AECE2" w14:textId="77777777" w:rsidR="00F947EB" w:rsidRPr="006A5D70" w:rsidRDefault="00F947EB" w:rsidP="00BB1A04">
            <w:pPr>
              <w:rPr>
                <w:sz w:val="22"/>
                <w:szCs w:val="22"/>
                <w:lang w:val="en-GB"/>
              </w:rPr>
            </w:pPr>
          </w:p>
        </w:tc>
        <w:tc>
          <w:tcPr>
            <w:tcW w:w="1528" w:type="pct"/>
          </w:tcPr>
          <w:p w14:paraId="286E95CF" w14:textId="33BFA8A6" w:rsidR="00F947EB" w:rsidRPr="00F947EB" w:rsidRDefault="00F947EB" w:rsidP="00714F77">
            <w:pPr>
              <w:pStyle w:val="ListParagraph"/>
              <w:spacing w:after="0" w:line="240" w:lineRule="auto"/>
              <w:ind w:left="0" w:hanging="102"/>
              <w:jc w:val="both"/>
              <w:outlineLvl w:val="0"/>
              <w:rPr>
                <w:rFonts w:ascii="Times New Roman" w:hAnsi="Times New Roman"/>
                <w:i/>
                <w:color w:val="000000"/>
                <w:lang w:val="ro-MD" w:eastAsia="ru-RU"/>
              </w:rPr>
            </w:pPr>
            <w:r w:rsidRPr="00F947EB">
              <w:rPr>
                <w:rFonts w:ascii="Times New Roman" w:hAnsi="Times New Roman"/>
                <w:lang w:val="ro-MD"/>
              </w:rPr>
              <w:t xml:space="preserve">Preambulul Codului rețelor de gaze naturale se completează cu textul </w:t>
            </w:r>
            <w:r w:rsidRPr="00F947EB">
              <w:rPr>
                <w:rFonts w:ascii="Times New Roman" w:hAnsi="Times New Roman"/>
                <w:i/>
                <w:lang w:val="ro-MD"/>
              </w:rPr>
              <w:t>„</w:t>
            </w:r>
            <w:r w:rsidRPr="00F947EB">
              <w:rPr>
                <w:rFonts w:ascii="Times New Roman" w:hAnsi="Times New Roman"/>
                <w:bCs/>
                <w:i/>
                <w:lang w:val="ro-MD"/>
              </w:rPr>
              <w:t xml:space="preserve">și </w:t>
            </w:r>
            <w:hyperlink w:anchor="_bookmark5" w:history="1">
              <w:r w:rsidRPr="00F947EB">
                <w:rPr>
                  <w:rFonts w:ascii="Times New Roman" w:hAnsi="Times New Roman"/>
                  <w:bCs/>
                  <w:i/>
                  <w:lang w:val="ro-MD"/>
                </w:rPr>
                <w:t>Regulamentul (UE) Nr. 312/2014 al Comisiei din 26 martie 2014 de stabilire a unui cod de rețea</w:t>
              </w:r>
            </w:hyperlink>
            <w:r w:rsidRPr="00F947EB">
              <w:rPr>
                <w:rFonts w:ascii="Times New Roman" w:hAnsi="Times New Roman"/>
                <w:bCs/>
                <w:i/>
                <w:lang w:val="ro-MD"/>
              </w:rPr>
              <w:t xml:space="preserve"> </w:t>
            </w:r>
            <w:hyperlink w:anchor="_bookmark5" w:history="1">
              <w:r w:rsidRPr="00F947EB">
                <w:rPr>
                  <w:rFonts w:ascii="Times New Roman" w:hAnsi="Times New Roman"/>
                  <w:bCs/>
                  <w:i/>
                  <w:lang w:val="ro-MD"/>
                </w:rPr>
                <w:t>privind echilibrarea rețelelor de transport de gaz</w:t>
              </w:r>
            </w:hyperlink>
            <w:r w:rsidRPr="00F947EB">
              <w:rPr>
                <w:rFonts w:ascii="Times New Roman" w:hAnsi="Times New Roman"/>
                <w:bCs/>
                <w:i/>
                <w:lang w:val="ro-MD"/>
              </w:rPr>
              <w:t xml:space="preserve">, publicat în Jurnalul Oficial al Uniunii Europene (JO) Nr. L91 din 27 martie 2014, adaptat prin Decizia Nr. 2019/01/PHLG-EnC al Grupului Permanent de Nivel Înalt al Comunităţii Energetice din 12 decembrie 2019 privind adoptarea Regulamentului (UE) Nr. </w:t>
            </w:r>
            <w:hyperlink w:anchor="_bookmark5" w:history="1">
              <w:r w:rsidRPr="00F947EB">
                <w:rPr>
                  <w:rFonts w:ascii="Times New Roman" w:hAnsi="Times New Roman"/>
                  <w:bCs/>
                  <w:i/>
                  <w:lang w:val="ro-MD"/>
                </w:rPr>
                <w:t xml:space="preserve"> 312/2014 al Comisiei din 26 martie 2014 de stabilire a unui cod de rețea</w:t>
              </w:r>
            </w:hyperlink>
            <w:r w:rsidRPr="00F947EB">
              <w:rPr>
                <w:rFonts w:ascii="Times New Roman" w:hAnsi="Times New Roman"/>
                <w:bCs/>
                <w:i/>
                <w:lang w:val="ro-MD"/>
              </w:rPr>
              <w:t xml:space="preserve"> </w:t>
            </w:r>
            <w:hyperlink w:anchor="_bookmark5" w:history="1">
              <w:r w:rsidRPr="00F947EB">
                <w:rPr>
                  <w:rFonts w:ascii="Times New Roman" w:hAnsi="Times New Roman"/>
                  <w:bCs/>
                  <w:i/>
                  <w:lang w:val="ro-MD"/>
                </w:rPr>
                <w:t>privind echilibrarea rețelelor de transport de gaz</w:t>
              </w:r>
            </w:hyperlink>
            <w:r w:rsidRPr="00F947EB">
              <w:rPr>
                <w:rFonts w:ascii="Times New Roman" w:hAnsi="Times New Roman"/>
                <w:bCs/>
                <w:lang w:val="ro-MD"/>
              </w:rPr>
              <w:t>”;</w:t>
            </w:r>
          </w:p>
        </w:tc>
        <w:tc>
          <w:tcPr>
            <w:tcW w:w="1537" w:type="pct"/>
          </w:tcPr>
          <w:p w14:paraId="3575FBD8" w14:textId="6D0B4F67" w:rsidR="00F947EB" w:rsidRPr="006A5D70" w:rsidRDefault="00F947EB" w:rsidP="00BB1A04">
            <w:pPr>
              <w:jc w:val="both"/>
              <w:rPr>
                <w:sz w:val="22"/>
                <w:szCs w:val="22"/>
                <w:lang w:val="ro-RO"/>
              </w:rPr>
            </w:pPr>
            <w:r w:rsidRPr="006A5D70">
              <w:rPr>
                <w:sz w:val="22"/>
                <w:szCs w:val="22"/>
                <w:lang w:val="ro-RO"/>
              </w:rPr>
              <w:t>La sbp. 1) se va indica că se completează clauza de armonizare și nu prea</w:t>
            </w:r>
            <w:r w:rsidR="0025073D">
              <w:rPr>
                <w:sz w:val="22"/>
                <w:szCs w:val="22"/>
                <w:lang w:val="ro-RO"/>
              </w:rPr>
              <w:t>m</w:t>
            </w:r>
            <w:r w:rsidRPr="006A5D70">
              <w:rPr>
                <w:sz w:val="22"/>
                <w:szCs w:val="22"/>
                <w:lang w:val="ro-RO"/>
              </w:rPr>
              <w:t xml:space="preserve">bulul (a se vedea art. 44 din </w:t>
            </w:r>
            <w:r w:rsidRPr="006A5D70">
              <w:rPr>
                <w:i/>
                <w:sz w:val="22"/>
                <w:szCs w:val="22"/>
                <w:lang w:val="ro-RO"/>
              </w:rPr>
              <w:t>Legea nr. 100/2017</w:t>
            </w:r>
            <w:r w:rsidRPr="006A5D70">
              <w:rPr>
                <w:sz w:val="22"/>
                <w:szCs w:val="22"/>
                <w:lang w:val="ro-RO"/>
              </w:rPr>
              <w:t>).</w:t>
            </w:r>
          </w:p>
        </w:tc>
        <w:tc>
          <w:tcPr>
            <w:cnfStyle w:val="000100000000" w:firstRow="0" w:lastRow="0" w:firstColumn="0" w:lastColumn="1" w:oddVBand="0" w:evenVBand="0" w:oddHBand="0" w:evenHBand="0" w:firstRowFirstColumn="0" w:firstRowLastColumn="0" w:lastRowFirstColumn="0" w:lastRowLastColumn="0"/>
            <w:tcW w:w="1060" w:type="pct"/>
          </w:tcPr>
          <w:p w14:paraId="0A4B588D" w14:textId="58EB81D2" w:rsidR="00F947EB" w:rsidRPr="006A5D70" w:rsidRDefault="0025073D" w:rsidP="00BB1A04">
            <w:pPr>
              <w:jc w:val="both"/>
              <w:rPr>
                <w:sz w:val="22"/>
                <w:szCs w:val="22"/>
                <w:lang w:val="ro-MD"/>
              </w:rPr>
            </w:pPr>
            <w:r>
              <w:rPr>
                <w:sz w:val="22"/>
                <w:szCs w:val="22"/>
                <w:lang w:val="ro-MD"/>
              </w:rPr>
              <w:t>Se acceptă</w:t>
            </w:r>
          </w:p>
        </w:tc>
      </w:tr>
      <w:tr w:rsidR="006A5D70" w:rsidRPr="00511A6A" w14:paraId="22825B30" w14:textId="77777777" w:rsidTr="006A5D70">
        <w:trPr>
          <w:trHeight w:val="70"/>
        </w:trPr>
        <w:tc>
          <w:tcPr>
            <w:tcW w:w="339" w:type="pct"/>
          </w:tcPr>
          <w:p w14:paraId="3246AD4F" w14:textId="032BF09B" w:rsidR="006A5D70" w:rsidRPr="006A5D70" w:rsidRDefault="006A5D70" w:rsidP="00BB1A04">
            <w:pPr>
              <w:rPr>
                <w:sz w:val="22"/>
                <w:szCs w:val="22"/>
                <w:lang w:val="ro-RO"/>
              </w:rPr>
            </w:pPr>
            <w:r w:rsidRPr="006A5D70">
              <w:rPr>
                <w:sz w:val="22"/>
                <w:szCs w:val="22"/>
                <w:lang w:val="ro-RO"/>
              </w:rPr>
              <w:t>Pct.5</w:t>
            </w:r>
          </w:p>
        </w:tc>
        <w:tc>
          <w:tcPr>
            <w:tcW w:w="536" w:type="pct"/>
          </w:tcPr>
          <w:p w14:paraId="5C738710" w14:textId="77777777" w:rsidR="006A5D70" w:rsidRPr="006A5D70" w:rsidRDefault="006A5D70" w:rsidP="00BB1A04">
            <w:pPr>
              <w:rPr>
                <w:sz w:val="22"/>
                <w:szCs w:val="22"/>
                <w:lang w:val="en-GB"/>
              </w:rPr>
            </w:pPr>
          </w:p>
        </w:tc>
        <w:tc>
          <w:tcPr>
            <w:tcW w:w="1528" w:type="pct"/>
          </w:tcPr>
          <w:p w14:paraId="5DA537BD" w14:textId="77777777" w:rsidR="00F947EB" w:rsidRPr="00F947EB" w:rsidRDefault="00F947EB" w:rsidP="00714F77">
            <w:pPr>
              <w:tabs>
                <w:tab w:val="left" w:pos="1134"/>
              </w:tabs>
              <w:jc w:val="both"/>
              <w:rPr>
                <w:rFonts w:eastAsia="SimSun"/>
                <w:sz w:val="22"/>
                <w:szCs w:val="22"/>
                <w:lang w:val="ro-MD"/>
              </w:rPr>
            </w:pPr>
            <w:r w:rsidRPr="00F947EB">
              <w:rPr>
                <w:rFonts w:eastAsia="SimSun"/>
                <w:sz w:val="22"/>
                <w:szCs w:val="22"/>
                <w:lang w:val="ro-MD"/>
              </w:rPr>
              <w:t>Pct. 5 se completează cu următorii termeni și noțiuni în ordine alfabetică, după cum urmează:</w:t>
            </w:r>
          </w:p>
          <w:p w14:paraId="57116912" w14:textId="77777777" w:rsidR="006A5D70" w:rsidRPr="006A5D70" w:rsidRDefault="006A5D70" w:rsidP="00BB1A04">
            <w:pPr>
              <w:pStyle w:val="NormalWeb"/>
              <w:tabs>
                <w:tab w:val="left" w:pos="851"/>
              </w:tabs>
              <w:ind w:firstLine="0"/>
              <w:rPr>
                <w:bCs/>
                <w:color w:val="000000"/>
                <w:sz w:val="22"/>
                <w:szCs w:val="22"/>
                <w:lang w:val="ro-MD"/>
              </w:rPr>
            </w:pPr>
          </w:p>
        </w:tc>
        <w:tc>
          <w:tcPr>
            <w:tcW w:w="1537" w:type="pct"/>
          </w:tcPr>
          <w:p w14:paraId="51F8C5D5" w14:textId="7175D383" w:rsidR="006A5D70" w:rsidRPr="0025073D" w:rsidRDefault="006A5D70" w:rsidP="004D7925">
            <w:pPr>
              <w:jc w:val="both"/>
              <w:rPr>
                <w:sz w:val="22"/>
                <w:szCs w:val="22"/>
                <w:lang w:val="ro-RO"/>
              </w:rPr>
            </w:pPr>
            <w:r w:rsidRPr="0025073D">
              <w:rPr>
                <w:sz w:val="22"/>
                <w:szCs w:val="22"/>
                <w:lang w:val="ro-RO"/>
              </w:rPr>
              <w:t xml:space="preserve">Se remarcă că, actul normativ nu este un dicţionar juridic sau un manual și noțiunile nu trebuie să fie definite doar pentru a explica care este sensul acestora. Includerea definițiilor în actul normativ trebuie să se facă doar în cazul și </w:t>
            </w:r>
            <w:r w:rsidRPr="0025073D">
              <w:rPr>
                <w:sz w:val="22"/>
                <w:szCs w:val="22"/>
                <w:lang w:val="ro-RO"/>
              </w:rPr>
              <w:lastRenderedPageBreak/>
              <w:t>în limita necesară pentru reglementarea cercului subiecților, drepturilor și obligațiilor acestora și a modului de exercitare a drepturilor și obligațiilor. Pentru atingerea acestui scop se impune ca noțiunile să fie definite doar în cazul în care la momentul adoptării actului se constată că un termen este pasibil de a fi interpretat în mai multe sensuri și autorul actului normativ decide că nu trebuie să lase determinarea sensului exact al termenului în sarcina celor care vor interpreta și aplica actul normativ. Această regulă este aplicabilă și în cazul în care termenul este folosit în alt sens decît cel uzual.</w:t>
            </w:r>
          </w:p>
        </w:tc>
        <w:tc>
          <w:tcPr>
            <w:cnfStyle w:val="000100000000" w:firstRow="0" w:lastRow="0" w:firstColumn="0" w:lastColumn="1" w:oddVBand="0" w:evenVBand="0" w:oddHBand="0" w:evenHBand="0" w:firstRowFirstColumn="0" w:firstRowLastColumn="0" w:lastRowFirstColumn="0" w:lastRowLastColumn="0"/>
            <w:tcW w:w="1060" w:type="pct"/>
          </w:tcPr>
          <w:p w14:paraId="4FCA649B" w14:textId="3E6AD0C4" w:rsidR="006A5D70" w:rsidRPr="00714F77" w:rsidRDefault="004D7925" w:rsidP="00335651">
            <w:pPr>
              <w:jc w:val="both"/>
              <w:rPr>
                <w:sz w:val="22"/>
                <w:szCs w:val="22"/>
                <w:highlight w:val="yellow"/>
                <w:lang w:val="en-GB"/>
              </w:rPr>
            </w:pPr>
            <w:r w:rsidRPr="004D7925">
              <w:rPr>
                <w:sz w:val="22"/>
                <w:szCs w:val="22"/>
                <w:lang w:val="en-GB"/>
              </w:rPr>
              <w:lastRenderedPageBreak/>
              <w:t xml:space="preserve">Nu se acceptă. </w:t>
            </w:r>
            <w:r w:rsidRPr="004D7925">
              <w:rPr>
                <w:b w:val="0"/>
                <w:sz w:val="22"/>
                <w:szCs w:val="22"/>
                <w:lang w:val="en-GB"/>
              </w:rPr>
              <w:t>Termenii și notiunile indicate sunt obligatoriu de a fi transpuse, fiind prevăzute de Regulamentul 312/2014.</w:t>
            </w:r>
            <w:r w:rsidRPr="004D7925">
              <w:rPr>
                <w:sz w:val="22"/>
                <w:szCs w:val="22"/>
                <w:lang w:val="en-GB"/>
              </w:rPr>
              <w:t xml:space="preserve"> </w:t>
            </w:r>
          </w:p>
        </w:tc>
      </w:tr>
      <w:tr w:rsidR="006A5D70" w:rsidRPr="004D7925" w14:paraId="7C314114" w14:textId="77777777" w:rsidTr="006A5D70">
        <w:trPr>
          <w:trHeight w:val="70"/>
        </w:trPr>
        <w:tc>
          <w:tcPr>
            <w:tcW w:w="339" w:type="pct"/>
          </w:tcPr>
          <w:p w14:paraId="5E7A5030" w14:textId="13ADE632" w:rsidR="006A5D70" w:rsidRPr="006A5D70" w:rsidRDefault="006A5D70" w:rsidP="00BB1A04">
            <w:pPr>
              <w:rPr>
                <w:sz w:val="22"/>
                <w:szCs w:val="22"/>
                <w:lang w:val="ro-RO"/>
              </w:rPr>
            </w:pPr>
            <w:r w:rsidRPr="006A5D70">
              <w:rPr>
                <w:sz w:val="22"/>
                <w:szCs w:val="22"/>
                <w:lang w:val="ro-RO"/>
              </w:rPr>
              <w:lastRenderedPageBreak/>
              <w:t>Sub.3</w:t>
            </w:r>
          </w:p>
        </w:tc>
        <w:tc>
          <w:tcPr>
            <w:tcW w:w="536" w:type="pct"/>
          </w:tcPr>
          <w:p w14:paraId="15631AC1" w14:textId="77777777" w:rsidR="006A5D70" w:rsidRPr="006A5D70" w:rsidRDefault="006A5D70" w:rsidP="00BB1A04">
            <w:pPr>
              <w:rPr>
                <w:sz w:val="22"/>
                <w:szCs w:val="22"/>
                <w:lang w:val="en-GB"/>
              </w:rPr>
            </w:pPr>
          </w:p>
        </w:tc>
        <w:tc>
          <w:tcPr>
            <w:tcW w:w="1528" w:type="pct"/>
          </w:tcPr>
          <w:p w14:paraId="1606255F" w14:textId="6362C95E" w:rsidR="006A5D70" w:rsidRPr="004D7925" w:rsidRDefault="00F947EB" w:rsidP="004D7925">
            <w:pPr>
              <w:jc w:val="both"/>
              <w:rPr>
                <w:rFonts w:eastAsia="SimSun"/>
                <w:sz w:val="22"/>
                <w:szCs w:val="22"/>
                <w:lang w:val="ro-MD"/>
              </w:rPr>
            </w:pPr>
            <w:r w:rsidRPr="00F947EB">
              <w:rPr>
                <w:rFonts w:eastAsia="SimSun"/>
                <w:sz w:val="22"/>
                <w:szCs w:val="22"/>
                <w:lang w:val="ro-MD"/>
              </w:rPr>
              <w:t>Se întroduce Titlul V</w:t>
            </w:r>
            <w:r w:rsidRPr="00F947EB">
              <w:rPr>
                <w:rFonts w:eastAsia="SimSun"/>
                <w:sz w:val="22"/>
                <w:szCs w:val="22"/>
                <w:vertAlign w:val="superscript"/>
                <w:lang w:val="ro-MD"/>
              </w:rPr>
              <w:t>1</w:t>
            </w:r>
            <w:r w:rsidRPr="00F947EB">
              <w:rPr>
                <w:rFonts w:eastAsia="SimSun"/>
                <w:sz w:val="22"/>
                <w:szCs w:val="22"/>
                <w:lang w:val="ro-MD"/>
              </w:rPr>
              <w:t xml:space="preserve"> cu următorul conținut:</w:t>
            </w:r>
          </w:p>
        </w:tc>
        <w:tc>
          <w:tcPr>
            <w:tcW w:w="1537" w:type="pct"/>
          </w:tcPr>
          <w:p w14:paraId="04D47D64" w14:textId="31AFD085" w:rsidR="006A5D70" w:rsidRPr="004D7925" w:rsidRDefault="006A5D70" w:rsidP="004D7925">
            <w:pPr>
              <w:jc w:val="both"/>
              <w:rPr>
                <w:sz w:val="22"/>
                <w:szCs w:val="22"/>
                <w:lang w:val="en-US"/>
              </w:rPr>
            </w:pPr>
            <w:r w:rsidRPr="004D7925">
              <w:rPr>
                <w:sz w:val="22"/>
                <w:szCs w:val="22"/>
                <w:lang w:val="ro-RO"/>
              </w:rPr>
              <w:t>De reformulat după cum urmează: „3) Se completează cu Titlul V</w:t>
            </w:r>
            <w:r w:rsidRPr="004D7925">
              <w:rPr>
                <w:sz w:val="22"/>
                <w:szCs w:val="22"/>
                <w:vertAlign w:val="superscript"/>
                <w:lang w:val="ro-RO"/>
              </w:rPr>
              <w:t>1</w:t>
            </w:r>
            <w:r w:rsidRPr="004D7925">
              <w:rPr>
                <w:sz w:val="22"/>
                <w:szCs w:val="22"/>
                <w:lang w:val="ro-RO"/>
              </w:rPr>
              <w:t xml:space="preserve"> cu următorul cuprins:”.</w:t>
            </w:r>
          </w:p>
        </w:tc>
        <w:tc>
          <w:tcPr>
            <w:cnfStyle w:val="000100000000" w:firstRow="0" w:lastRow="0" w:firstColumn="0" w:lastColumn="1" w:oddVBand="0" w:evenVBand="0" w:oddHBand="0" w:evenHBand="0" w:firstRowFirstColumn="0" w:firstRowLastColumn="0" w:lastRowFirstColumn="0" w:lastRowLastColumn="0"/>
            <w:tcW w:w="1060" w:type="pct"/>
          </w:tcPr>
          <w:p w14:paraId="66DB0A91" w14:textId="1AC735D4" w:rsidR="006A5D70" w:rsidRPr="004D7925" w:rsidRDefault="004D7925" w:rsidP="00335651">
            <w:pPr>
              <w:jc w:val="both"/>
              <w:rPr>
                <w:sz w:val="22"/>
                <w:szCs w:val="22"/>
                <w:lang w:val="ro-MD"/>
              </w:rPr>
            </w:pPr>
            <w:r w:rsidRPr="004D7925">
              <w:rPr>
                <w:sz w:val="22"/>
                <w:szCs w:val="22"/>
                <w:lang w:val="ro-MD"/>
              </w:rPr>
              <w:t>Se acceptă.</w:t>
            </w:r>
          </w:p>
        </w:tc>
      </w:tr>
      <w:tr w:rsidR="006A5D70" w:rsidRPr="00511A6A" w14:paraId="265C57C2" w14:textId="77777777" w:rsidTr="006A5D70">
        <w:trPr>
          <w:trHeight w:val="70"/>
        </w:trPr>
        <w:tc>
          <w:tcPr>
            <w:tcW w:w="339" w:type="pct"/>
          </w:tcPr>
          <w:p w14:paraId="113148E3" w14:textId="7941FFA6" w:rsidR="006A5D70" w:rsidRPr="006A5D70" w:rsidRDefault="006A5D70" w:rsidP="00BB1A04">
            <w:pPr>
              <w:rPr>
                <w:sz w:val="22"/>
                <w:szCs w:val="22"/>
                <w:vertAlign w:val="superscript"/>
                <w:lang w:val="ro-RO"/>
              </w:rPr>
            </w:pPr>
            <w:r w:rsidRPr="006A5D70">
              <w:rPr>
                <w:sz w:val="22"/>
                <w:szCs w:val="22"/>
                <w:lang w:val="ro-RO"/>
              </w:rPr>
              <w:t>Pct.433</w:t>
            </w:r>
            <w:r w:rsidRPr="006A5D70">
              <w:rPr>
                <w:sz w:val="22"/>
                <w:szCs w:val="22"/>
                <w:vertAlign w:val="superscript"/>
                <w:lang w:val="ro-RO"/>
              </w:rPr>
              <w:t>1</w:t>
            </w:r>
          </w:p>
        </w:tc>
        <w:tc>
          <w:tcPr>
            <w:tcW w:w="536" w:type="pct"/>
          </w:tcPr>
          <w:p w14:paraId="2AC5F9CB" w14:textId="77777777" w:rsidR="006A5D70" w:rsidRPr="006A5D70" w:rsidRDefault="006A5D70" w:rsidP="00BB1A04">
            <w:pPr>
              <w:rPr>
                <w:sz w:val="22"/>
                <w:szCs w:val="22"/>
                <w:lang w:val="en-GB"/>
              </w:rPr>
            </w:pPr>
          </w:p>
        </w:tc>
        <w:tc>
          <w:tcPr>
            <w:tcW w:w="1528" w:type="pct"/>
          </w:tcPr>
          <w:p w14:paraId="2B32028E" w14:textId="70B4F710" w:rsidR="00F947EB" w:rsidRPr="00F947EB" w:rsidRDefault="00F947EB" w:rsidP="00BB1A04">
            <w:pPr>
              <w:jc w:val="both"/>
              <w:rPr>
                <w:sz w:val="22"/>
                <w:szCs w:val="22"/>
                <w:lang w:val="ro-MD"/>
              </w:rPr>
            </w:pPr>
            <w:r w:rsidRPr="00F947EB">
              <w:rPr>
                <w:sz w:val="22"/>
                <w:szCs w:val="22"/>
                <w:lang w:val="ro-MD"/>
              </w:rPr>
              <w:t xml:space="preserve"> Prezentul Titlu stabilește norme privind echilibrarea gazelor naturale, inclusiv norme cu privire la procedurile de nominalizare, taxele de dezechilibru, proceduri asociate taxei de dezechilibru zilnic și echilibrarea operațională între rețelele OST-urilor.</w:t>
            </w:r>
          </w:p>
          <w:p w14:paraId="080CA59C" w14:textId="77777777" w:rsidR="006A5D70" w:rsidRPr="00F947EB" w:rsidRDefault="006A5D70" w:rsidP="00335651">
            <w:pPr>
              <w:ind w:firstLine="567"/>
              <w:jc w:val="both"/>
              <w:rPr>
                <w:bCs/>
                <w:color w:val="000000"/>
                <w:sz w:val="22"/>
                <w:szCs w:val="22"/>
                <w:lang w:val="ro-MD"/>
              </w:rPr>
            </w:pPr>
          </w:p>
        </w:tc>
        <w:tc>
          <w:tcPr>
            <w:tcW w:w="1537" w:type="pct"/>
          </w:tcPr>
          <w:p w14:paraId="683A0260" w14:textId="0DEA6725" w:rsidR="006A5D70" w:rsidRPr="00304778" w:rsidRDefault="006A5D70" w:rsidP="00304778">
            <w:pPr>
              <w:tabs>
                <w:tab w:val="left" w:pos="567"/>
              </w:tabs>
              <w:jc w:val="both"/>
              <w:rPr>
                <w:sz w:val="22"/>
                <w:szCs w:val="22"/>
                <w:lang w:val="ro-RO"/>
              </w:rPr>
            </w:pPr>
            <w:r w:rsidRPr="0025073D">
              <w:rPr>
                <w:sz w:val="22"/>
                <w:szCs w:val="22"/>
                <w:lang w:val="ro-RO"/>
              </w:rPr>
              <w:t>Redacția pct. 433</w:t>
            </w:r>
            <w:r w:rsidRPr="0025073D">
              <w:rPr>
                <w:sz w:val="22"/>
                <w:szCs w:val="22"/>
                <w:vertAlign w:val="superscript"/>
                <w:lang w:val="ro-RO"/>
              </w:rPr>
              <w:t xml:space="preserve">1 </w:t>
            </w:r>
            <w:r w:rsidRPr="0025073D">
              <w:rPr>
                <w:sz w:val="22"/>
                <w:szCs w:val="22"/>
                <w:lang w:val="ro-RO"/>
              </w:rPr>
              <w:t xml:space="preserve">urmează a fi corelată cu art. 1 din Regulamentul (CE) NR. 312/2014 al Comisiei din 26 martie 2014 de stabilire a unui cod de rețea privind echilibrarea rețelelor de transport de gaz, (Text cu relevanță pentru SEE) publicat în Jurnalul Oficial al Uniunii Europene (JO) nr. L 91/15 din 27 martie 2014 (în continuare - </w:t>
            </w:r>
            <w:r w:rsidRPr="0025073D">
              <w:rPr>
                <w:i/>
                <w:sz w:val="22"/>
                <w:szCs w:val="22"/>
                <w:lang w:val="ro-RO"/>
              </w:rPr>
              <w:t>Regulamentul (CE) NR. 312/2014</w:t>
            </w:r>
            <w:r w:rsidRPr="0025073D">
              <w:rPr>
                <w:sz w:val="22"/>
                <w:szCs w:val="22"/>
                <w:lang w:val="ro-RO"/>
              </w:rPr>
              <w:t>).</w:t>
            </w:r>
            <w:r w:rsidRPr="0025073D">
              <w:rPr>
                <w:sz w:val="22"/>
                <w:szCs w:val="22"/>
                <w:lang w:val="en-US"/>
              </w:rPr>
              <w:t xml:space="preserve"> Cuvintele de la pct. 433</w:t>
            </w:r>
            <w:r w:rsidRPr="0025073D">
              <w:rPr>
                <w:sz w:val="22"/>
                <w:szCs w:val="22"/>
                <w:vertAlign w:val="superscript"/>
                <w:lang w:val="en-US"/>
              </w:rPr>
              <w:t>1</w:t>
            </w:r>
            <w:r w:rsidRPr="0025073D">
              <w:rPr>
                <w:sz w:val="22"/>
                <w:szCs w:val="22"/>
                <w:lang w:val="en-US"/>
              </w:rPr>
              <w:t xml:space="preserve"> „</w:t>
            </w:r>
            <w:r w:rsidRPr="0025073D">
              <w:rPr>
                <w:sz w:val="22"/>
                <w:szCs w:val="22"/>
                <w:lang w:val="ro-RO"/>
              </w:rPr>
              <w:t>Prezentul Titlu stabilește norme privind echilibrarea gazelor naturale” urmează a fi substituite cu cuvintele „Prezentul Titlu fixează norme privind echilibrarea gazelor natu</w:t>
            </w:r>
            <w:r w:rsidR="00304778">
              <w:rPr>
                <w:sz w:val="22"/>
                <w:szCs w:val="22"/>
                <w:lang w:val="ro-RO"/>
              </w:rPr>
              <w:t>rale”, în continuare după text.</w:t>
            </w:r>
          </w:p>
        </w:tc>
        <w:tc>
          <w:tcPr>
            <w:cnfStyle w:val="000100000000" w:firstRow="0" w:lastRow="0" w:firstColumn="0" w:lastColumn="1" w:oddVBand="0" w:evenVBand="0" w:oddHBand="0" w:evenHBand="0" w:firstRowFirstColumn="0" w:firstRowLastColumn="0" w:lastRowFirstColumn="0" w:lastRowLastColumn="0"/>
            <w:tcW w:w="1060" w:type="pct"/>
          </w:tcPr>
          <w:p w14:paraId="1479F944" w14:textId="15CE05CF" w:rsidR="006A5D70" w:rsidRPr="00304778" w:rsidRDefault="00304778" w:rsidP="00304778">
            <w:pPr>
              <w:jc w:val="both"/>
              <w:rPr>
                <w:sz w:val="22"/>
                <w:szCs w:val="22"/>
                <w:highlight w:val="yellow"/>
                <w:lang w:val="en-GB"/>
              </w:rPr>
            </w:pPr>
            <w:r w:rsidRPr="00304778">
              <w:rPr>
                <w:sz w:val="22"/>
                <w:szCs w:val="22"/>
                <w:lang w:val="ro-MD"/>
              </w:rPr>
              <w:t xml:space="preserve">Nu se acceptă. </w:t>
            </w:r>
            <w:r w:rsidRPr="00304778">
              <w:rPr>
                <w:b w:val="0"/>
                <w:sz w:val="22"/>
                <w:szCs w:val="22"/>
                <w:lang w:val="ro-MD"/>
              </w:rPr>
              <w:t>Te</w:t>
            </w:r>
            <w:r>
              <w:rPr>
                <w:b w:val="0"/>
                <w:sz w:val="22"/>
                <w:szCs w:val="22"/>
                <w:lang w:val="ro-MD"/>
              </w:rPr>
              <w:t>rmenul de „fixare” reprezintă o traducere imperfectă a Regulamentului 312/2014</w:t>
            </w:r>
          </w:p>
        </w:tc>
      </w:tr>
      <w:tr w:rsidR="006A5D70" w:rsidRPr="006A5D70" w14:paraId="68BBFB57" w14:textId="77777777" w:rsidTr="006A5D70">
        <w:trPr>
          <w:trHeight w:val="70"/>
        </w:trPr>
        <w:tc>
          <w:tcPr>
            <w:tcW w:w="339" w:type="pct"/>
          </w:tcPr>
          <w:p w14:paraId="1A1F8F3A" w14:textId="5229B813" w:rsidR="006A5D70" w:rsidRPr="006A5D70" w:rsidRDefault="006A5D70" w:rsidP="00BB1A04">
            <w:pPr>
              <w:rPr>
                <w:sz w:val="22"/>
                <w:szCs w:val="22"/>
                <w:vertAlign w:val="superscript"/>
                <w:lang w:val="ro-RO"/>
              </w:rPr>
            </w:pPr>
            <w:r w:rsidRPr="006A5D70">
              <w:rPr>
                <w:sz w:val="22"/>
                <w:szCs w:val="22"/>
                <w:lang w:val="ro-RO"/>
              </w:rPr>
              <w:t>Pct.433</w:t>
            </w:r>
            <w:r w:rsidRPr="006A5D70">
              <w:rPr>
                <w:sz w:val="22"/>
                <w:szCs w:val="22"/>
                <w:vertAlign w:val="superscript"/>
                <w:lang w:val="ro-RO"/>
              </w:rPr>
              <w:t>2</w:t>
            </w:r>
          </w:p>
        </w:tc>
        <w:tc>
          <w:tcPr>
            <w:tcW w:w="536" w:type="pct"/>
          </w:tcPr>
          <w:p w14:paraId="47C654C6" w14:textId="77777777" w:rsidR="006A5D70" w:rsidRPr="006A5D70" w:rsidRDefault="006A5D70" w:rsidP="00BB1A04">
            <w:pPr>
              <w:rPr>
                <w:sz w:val="22"/>
                <w:szCs w:val="22"/>
                <w:lang w:val="en-GB"/>
              </w:rPr>
            </w:pPr>
          </w:p>
        </w:tc>
        <w:tc>
          <w:tcPr>
            <w:tcW w:w="1528" w:type="pct"/>
          </w:tcPr>
          <w:p w14:paraId="3A838410" w14:textId="58093FFE" w:rsidR="00F947EB" w:rsidRPr="00F947EB" w:rsidRDefault="00F947EB" w:rsidP="00335651">
            <w:pPr>
              <w:rPr>
                <w:sz w:val="22"/>
                <w:szCs w:val="22"/>
                <w:lang w:val="ro-MD"/>
              </w:rPr>
            </w:pPr>
            <w:r w:rsidRPr="00F947EB">
              <w:rPr>
                <w:sz w:val="22"/>
                <w:szCs w:val="22"/>
                <w:lang w:val="ro-MD"/>
              </w:rPr>
              <w:t>Prezentul Titlu nu se aplică reconcilierii care ar trebui să aibă loc între alocări și consumul real care reiese din citirile echipamentelor de măsurare ale consumatorilor finali, dacă acestea sunt disponibile.</w:t>
            </w:r>
          </w:p>
          <w:p w14:paraId="1EAF0C52" w14:textId="77777777" w:rsidR="006A5D70" w:rsidRPr="006A5D70" w:rsidRDefault="006A5D70" w:rsidP="0080755D">
            <w:pPr>
              <w:pStyle w:val="NormalWeb"/>
              <w:tabs>
                <w:tab w:val="left" w:pos="851"/>
              </w:tabs>
              <w:ind w:firstLine="0"/>
              <w:rPr>
                <w:bCs/>
                <w:color w:val="000000"/>
                <w:sz w:val="22"/>
                <w:szCs w:val="22"/>
                <w:lang w:val="ro-MD"/>
              </w:rPr>
            </w:pPr>
          </w:p>
        </w:tc>
        <w:tc>
          <w:tcPr>
            <w:tcW w:w="1537" w:type="pct"/>
          </w:tcPr>
          <w:p w14:paraId="3C7857D7" w14:textId="308FF725" w:rsidR="006A5D70" w:rsidRPr="0025073D" w:rsidRDefault="006A5D70" w:rsidP="008A3E25">
            <w:pPr>
              <w:jc w:val="both"/>
              <w:rPr>
                <w:b/>
                <w:sz w:val="22"/>
                <w:szCs w:val="22"/>
                <w:lang w:val="ro-RO"/>
              </w:rPr>
            </w:pPr>
            <w:r w:rsidRPr="0025073D">
              <w:rPr>
                <w:sz w:val="22"/>
                <w:szCs w:val="22"/>
                <w:lang w:val="ro-RO"/>
              </w:rPr>
              <w:t>La pct. 433</w:t>
            </w:r>
            <w:r w:rsidRPr="0025073D">
              <w:rPr>
                <w:sz w:val="22"/>
                <w:szCs w:val="22"/>
                <w:vertAlign w:val="superscript"/>
                <w:lang w:val="ro-RO"/>
              </w:rPr>
              <w:t>2</w:t>
            </w:r>
            <w:r w:rsidRPr="0025073D">
              <w:rPr>
                <w:sz w:val="22"/>
                <w:szCs w:val="22"/>
                <w:lang w:val="en-US"/>
              </w:rPr>
              <w:t xml:space="preserve"> cuvintele „</w:t>
            </w:r>
            <w:r w:rsidRPr="0025073D">
              <w:rPr>
                <w:sz w:val="22"/>
                <w:szCs w:val="22"/>
                <w:lang w:val="ro-RO"/>
              </w:rPr>
              <w:t xml:space="preserve">consumul real care reiese din citirile echipamentelor de măsurare” </w:t>
            </w:r>
            <w:r w:rsidR="00A376D5">
              <w:rPr>
                <w:sz w:val="22"/>
                <w:szCs w:val="22"/>
                <w:lang w:val="ro-RO"/>
              </w:rPr>
              <w:t>d</w:t>
            </w:r>
            <w:r w:rsidRPr="0025073D">
              <w:rPr>
                <w:sz w:val="22"/>
                <w:szCs w:val="22"/>
                <w:lang w:val="ro-RO"/>
              </w:rPr>
              <w:t>e  substitui</w:t>
            </w:r>
            <w:r w:rsidR="00A376D5">
              <w:rPr>
                <w:sz w:val="22"/>
                <w:szCs w:val="22"/>
                <w:lang w:val="ro-RO"/>
              </w:rPr>
              <w:t>t</w:t>
            </w:r>
            <w:r w:rsidRPr="0025073D">
              <w:rPr>
                <w:sz w:val="22"/>
                <w:szCs w:val="22"/>
                <w:lang w:val="ro-RO"/>
              </w:rPr>
              <w:t xml:space="preserve"> cu cuvintele „consumul real </w:t>
            </w:r>
            <w:r w:rsidRPr="0025073D">
              <w:rPr>
                <w:i/>
                <w:sz w:val="22"/>
                <w:szCs w:val="22"/>
                <w:lang w:val="ro-RO"/>
              </w:rPr>
              <w:t>derivat ulterior</w:t>
            </w:r>
            <w:r w:rsidRPr="0025073D">
              <w:rPr>
                <w:sz w:val="22"/>
                <w:szCs w:val="22"/>
                <w:lang w:val="ro-RO"/>
              </w:rPr>
              <w:t xml:space="preserve"> din citirile</w:t>
            </w:r>
            <w:r w:rsidRPr="0025073D">
              <w:rPr>
                <w:sz w:val="22"/>
                <w:szCs w:val="22"/>
                <w:lang w:val="en-US"/>
              </w:rPr>
              <w:t xml:space="preserve"> </w:t>
            </w:r>
            <w:r w:rsidRPr="0025073D">
              <w:rPr>
                <w:sz w:val="22"/>
                <w:szCs w:val="22"/>
                <w:lang w:val="ro-RO"/>
              </w:rPr>
              <w:t>echipamentelor de măsurare”, or,</w:t>
            </w:r>
            <w:r w:rsidRPr="0025073D">
              <w:rPr>
                <w:sz w:val="22"/>
                <w:szCs w:val="22"/>
                <w:lang w:val="en-US"/>
              </w:rPr>
              <w:t xml:space="preserve"> potrivit art. 2 alin. (3) din Regulamentul (CE) NR. 312/2014, </w:t>
            </w:r>
            <w:r w:rsidRPr="0025073D">
              <w:rPr>
                <w:sz w:val="22"/>
                <w:szCs w:val="22"/>
                <w:lang w:val="ro-RO"/>
              </w:rPr>
              <w:t xml:space="preserve">regulamentul nu se aplică reconcilierii care ar trebui </w:t>
            </w:r>
            <w:r w:rsidRPr="0025073D">
              <w:rPr>
                <w:i/>
                <w:sz w:val="22"/>
                <w:szCs w:val="22"/>
                <w:lang w:val="ro-RO"/>
              </w:rPr>
              <w:t>să aibă loc între alocări și consumul real derivat ulterior din citirile contoarelor</w:t>
            </w:r>
            <w:r w:rsidRPr="0025073D">
              <w:rPr>
                <w:sz w:val="22"/>
                <w:szCs w:val="22"/>
                <w:lang w:val="ro-RO"/>
              </w:rPr>
              <w:t xml:space="preserve"> clienților finali, dacă acestea sunt disponibile.</w:t>
            </w:r>
          </w:p>
        </w:tc>
        <w:tc>
          <w:tcPr>
            <w:cnfStyle w:val="000100000000" w:firstRow="0" w:lastRow="0" w:firstColumn="0" w:lastColumn="1" w:oddVBand="0" w:evenVBand="0" w:oddHBand="0" w:evenHBand="0" w:firstRowFirstColumn="0" w:firstRowLastColumn="0" w:lastRowFirstColumn="0" w:lastRowLastColumn="0"/>
            <w:tcW w:w="1060" w:type="pct"/>
          </w:tcPr>
          <w:p w14:paraId="6FCEB9D4" w14:textId="5F1B98A6" w:rsidR="006A5D70" w:rsidRPr="00151F86" w:rsidRDefault="00F57D8F" w:rsidP="00C45E6F">
            <w:pPr>
              <w:jc w:val="both"/>
              <w:rPr>
                <w:sz w:val="22"/>
                <w:szCs w:val="22"/>
                <w:highlight w:val="yellow"/>
                <w:lang w:val="ro-MD"/>
              </w:rPr>
            </w:pPr>
            <w:r w:rsidRPr="00151F86">
              <w:rPr>
                <w:sz w:val="22"/>
                <w:szCs w:val="22"/>
                <w:lang w:val="ro-MD"/>
              </w:rPr>
              <w:t>Se acceptă</w:t>
            </w:r>
          </w:p>
        </w:tc>
      </w:tr>
      <w:tr w:rsidR="006A5D70" w:rsidRPr="00511A6A" w14:paraId="044C8F79" w14:textId="77777777" w:rsidTr="006A5D70">
        <w:trPr>
          <w:trHeight w:val="70"/>
        </w:trPr>
        <w:tc>
          <w:tcPr>
            <w:tcW w:w="339" w:type="pct"/>
          </w:tcPr>
          <w:p w14:paraId="1985BCD3" w14:textId="217B86FF" w:rsidR="006A5D70" w:rsidRPr="006A5D70" w:rsidRDefault="006A5D70" w:rsidP="00BB1A04">
            <w:pPr>
              <w:rPr>
                <w:sz w:val="22"/>
                <w:szCs w:val="22"/>
                <w:vertAlign w:val="superscript"/>
                <w:lang w:val="ro-RO"/>
              </w:rPr>
            </w:pPr>
            <w:r w:rsidRPr="006A5D70">
              <w:rPr>
                <w:sz w:val="22"/>
                <w:szCs w:val="22"/>
                <w:lang w:val="ro-RO"/>
              </w:rPr>
              <w:lastRenderedPageBreak/>
              <w:t>Pct.433</w:t>
            </w:r>
            <w:r w:rsidRPr="006A5D70">
              <w:rPr>
                <w:sz w:val="22"/>
                <w:szCs w:val="22"/>
                <w:vertAlign w:val="superscript"/>
                <w:lang w:val="ro-RO"/>
              </w:rPr>
              <w:t>3</w:t>
            </w:r>
          </w:p>
        </w:tc>
        <w:tc>
          <w:tcPr>
            <w:tcW w:w="536" w:type="pct"/>
          </w:tcPr>
          <w:p w14:paraId="3AA9B7AE" w14:textId="77777777" w:rsidR="006A5D70" w:rsidRPr="006A5D70" w:rsidRDefault="006A5D70" w:rsidP="00BB1A04">
            <w:pPr>
              <w:rPr>
                <w:sz w:val="22"/>
                <w:szCs w:val="22"/>
                <w:lang w:val="en-GB"/>
              </w:rPr>
            </w:pPr>
          </w:p>
        </w:tc>
        <w:tc>
          <w:tcPr>
            <w:tcW w:w="1528" w:type="pct"/>
          </w:tcPr>
          <w:p w14:paraId="308A1C00" w14:textId="04662565" w:rsidR="00F947EB" w:rsidRPr="00F947EB" w:rsidRDefault="00F947EB" w:rsidP="00335651">
            <w:pPr>
              <w:jc w:val="both"/>
              <w:rPr>
                <w:sz w:val="22"/>
                <w:szCs w:val="22"/>
                <w:lang w:val="ro-MD"/>
              </w:rPr>
            </w:pPr>
            <w:r w:rsidRPr="00F947EB">
              <w:rPr>
                <w:sz w:val="22"/>
                <w:szCs w:val="22"/>
                <w:lang w:val="ro-MD"/>
              </w:rPr>
              <w:t xml:space="preserve"> Prezentul Titlu nu se aplică în situații de urgență când OST pune în aplicare măsuri specifice definite în temeiul normelor naționale aplicabile și pe baza regulilor aplicabile a Comunității Energetice privind securitatea aprovizionării cu gaze naturale, după caz.</w:t>
            </w:r>
          </w:p>
          <w:p w14:paraId="1BF85D90" w14:textId="77777777" w:rsidR="006A5D70" w:rsidRPr="00F947EB" w:rsidRDefault="006A5D70" w:rsidP="0080755D">
            <w:pPr>
              <w:pStyle w:val="NormalWeb"/>
              <w:tabs>
                <w:tab w:val="left" w:pos="851"/>
              </w:tabs>
              <w:ind w:firstLine="0"/>
              <w:rPr>
                <w:bCs/>
                <w:color w:val="000000"/>
                <w:sz w:val="22"/>
                <w:szCs w:val="22"/>
                <w:lang w:val="ro-MD"/>
              </w:rPr>
            </w:pPr>
          </w:p>
        </w:tc>
        <w:tc>
          <w:tcPr>
            <w:tcW w:w="1537" w:type="pct"/>
          </w:tcPr>
          <w:p w14:paraId="222A1E81" w14:textId="762D4555" w:rsidR="006A5D70" w:rsidRPr="00151F86" w:rsidRDefault="006A5D70" w:rsidP="00151F86">
            <w:pPr>
              <w:tabs>
                <w:tab w:val="left" w:pos="709"/>
              </w:tabs>
              <w:jc w:val="both"/>
              <w:rPr>
                <w:color w:val="000000"/>
                <w:sz w:val="22"/>
                <w:szCs w:val="22"/>
                <w:lang w:val="en-US"/>
              </w:rPr>
            </w:pPr>
            <w:r w:rsidRPr="0025073D">
              <w:rPr>
                <w:sz w:val="22"/>
                <w:szCs w:val="22"/>
                <w:lang w:val="ro-RO"/>
              </w:rPr>
              <w:t>Prevederile pct. 433</w:t>
            </w:r>
            <w:r w:rsidRPr="0025073D">
              <w:rPr>
                <w:sz w:val="22"/>
                <w:szCs w:val="22"/>
                <w:vertAlign w:val="superscript"/>
                <w:lang w:val="ro-RO"/>
              </w:rPr>
              <w:t>3</w:t>
            </w:r>
            <w:r w:rsidRPr="0025073D">
              <w:rPr>
                <w:sz w:val="22"/>
                <w:szCs w:val="22"/>
                <w:lang w:val="ro-RO"/>
              </w:rPr>
              <w:t xml:space="preserve"> privind aplicarea măsurilor specifice în situații de urgență, definite în temeiul normelor naționale aplicabile și pe baza regulilor aplicabile a Comunității Energetice privind securitatea aprovizionării cu gaze naturale au un caracter ambiguu. </w:t>
            </w:r>
            <w:r w:rsidRPr="0025073D">
              <w:rPr>
                <w:sz w:val="22"/>
                <w:szCs w:val="22"/>
                <w:lang w:val="en-US"/>
              </w:rPr>
              <w:t>În acest context, la pct. 433</w:t>
            </w:r>
            <w:r w:rsidRPr="0025073D">
              <w:rPr>
                <w:sz w:val="22"/>
                <w:szCs w:val="22"/>
                <w:vertAlign w:val="superscript"/>
                <w:lang w:val="en-US"/>
              </w:rPr>
              <w:t xml:space="preserve">3 </w:t>
            </w:r>
            <w:r w:rsidRPr="0025073D">
              <w:rPr>
                <w:sz w:val="22"/>
                <w:szCs w:val="22"/>
                <w:lang w:val="en-US"/>
              </w:rPr>
              <w:t xml:space="preserve">urmează a fi specificate normele naționale aplicabile la care se face referință. </w:t>
            </w:r>
            <w:r w:rsidRPr="00151F86">
              <w:rPr>
                <w:i/>
                <w:sz w:val="22"/>
                <w:szCs w:val="22"/>
                <w:lang w:val="en-US"/>
              </w:rPr>
              <w:t>Precizăm</w:t>
            </w:r>
            <w:r w:rsidRPr="00151F86">
              <w:rPr>
                <w:i/>
                <w:color w:val="000000"/>
                <w:sz w:val="22"/>
                <w:szCs w:val="22"/>
                <w:lang w:val="en-US"/>
              </w:rPr>
              <w:t xml:space="preserve"> că legislația Uniunii Europene nu impune statelor obligația de a le copia mot à mot, ci doar de a ține cont de cerințele reglementărilor care se conțin în astfel de instrumente</w:t>
            </w:r>
            <w:r w:rsidRPr="00151F86">
              <w:rPr>
                <w:i/>
                <w:sz w:val="22"/>
                <w:szCs w:val="22"/>
                <w:lang w:val="en-US"/>
              </w:rPr>
              <w:t xml:space="preserve"> adaptîndu-le sistemului juridic național.</w:t>
            </w:r>
          </w:p>
        </w:tc>
        <w:tc>
          <w:tcPr>
            <w:cnfStyle w:val="000100000000" w:firstRow="0" w:lastRow="0" w:firstColumn="0" w:lastColumn="1" w:oddVBand="0" w:evenVBand="0" w:oddHBand="0" w:evenHBand="0" w:firstRowFirstColumn="0" w:firstRowLastColumn="0" w:lastRowFirstColumn="0" w:lastRowLastColumn="0"/>
            <w:tcW w:w="1060" w:type="pct"/>
          </w:tcPr>
          <w:p w14:paraId="16E17870" w14:textId="77777777" w:rsidR="006A5D70" w:rsidRDefault="00F57D8F" w:rsidP="008E0AB4">
            <w:pPr>
              <w:jc w:val="both"/>
              <w:rPr>
                <w:sz w:val="22"/>
                <w:szCs w:val="22"/>
                <w:lang w:val="ro-MD"/>
              </w:rPr>
            </w:pPr>
            <w:r w:rsidRPr="00151F86">
              <w:rPr>
                <w:sz w:val="22"/>
                <w:szCs w:val="22"/>
                <w:lang w:val="ro-MD"/>
              </w:rPr>
              <w:t>Se acceptă</w:t>
            </w:r>
          </w:p>
          <w:p w14:paraId="32B735CA" w14:textId="77777777" w:rsidR="00151F86" w:rsidRDefault="00151F86" w:rsidP="008E0AB4">
            <w:pPr>
              <w:jc w:val="both"/>
              <w:rPr>
                <w:sz w:val="22"/>
                <w:szCs w:val="22"/>
                <w:lang w:val="ro-MD"/>
              </w:rPr>
            </w:pPr>
          </w:p>
          <w:p w14:paraId="53F91A52" w14:textId="77777777" w:rsidR="00151F86" w:rsidRDefault="00151F86" w:rsidP="008E0AB4">
            <w:pPr>
              <w:jc w:val="both"/>
              <w:rPr>
                <w:sz w:val="22"/>
                <w:szCs w:val="22"/>
                <w:lang w:val="ro-MD"/>
              </w:rPr>
            </w:pPr>
          </w:p>
          <w:p w14:paraId="4953648D" w14:textId="6368B727" w:rsidR="00151F86" w:rsidRDefault="00151F86" w:rsidP="008E0AB4">
            <w:pPr>
              <w:jc w:val="both"/>
              <w:rPr>
                <w:sz w:val="22"/>
                <w:szCs w:val="22"/>
                <w:lang w:val="ro-MD"/>
              </w:rPr>
            </w:pPr>
          </w:p>
          <w:p w14:paraId="7D4605C0" w14:textId="7E5B1DEF" w:rsidR="00151F86" w:rsidRPr="004D7925" w:rsidRDefault="00151F86" w:rsidP="00151F86">
            <w:pPr>
              <w:jc w:val="both"/>
              <w:rPr>
                <w:b w:val="0"/>
                <w:sz w:val="22"/>
                <w:szCs w:val="22"/>
                <w:lang w:val="ro-MD"/>
              </w:rPr>
            </w:pPr>
            <w:r w:rsidRPr="00151F86">
              <w:rPr>
                <w:b w:val="0"/>
                <w:sz w:val="22"/>
                <w:szCs w:val="22"/>
                <w:lang w:val="ro-MD"/>
              </w:rPr>
              <w:t>Potrivit</w:t>
            </w:r>
            <w:r>
              <w:rPr>
                <w:b w:val="0"/>
                <w:sz w:val="22"/>
                <w:szCs w:val="22"/>
                <w:lang w:val="ro-MD"/>
              </w:rPr>
              <w:t xml:space="preserve"> art. 1 alin. (3) din </w:t>
            </w:r>
            <w:r>
              <w:rPr>
                <w:sz w:val="22"/>
                <w:szCs w:val="22"/>
                <w:lang w:val="ro-MD"/>
              </w:rPr>
              <w:t xml:space="preserve"> </w:t>
            </w:r>
            <w:r>
              <w:rPr>
                <w:b w:val="0"/>
                <w:sz w:val="22"/>
                <w:szCs w:val="22"/>
                <w:lang w:val="ro-MD"/>
              </w:rPr>
              <w:t>Decizia</w:t>
            </w:r>
            <w:r w:rsidRPr="008E0AB4">
              <w:rPr>
                <w:b w:val="0"/>
                <w:sz w:val="22"/>
                <w:szCs w:val="22"/>
                <w:lang w:val="ro-MD"/>
              </w:rPr>
              <w:t xml:space="preserve"> PHLG</w:t>
            </w:r>
            <w:r>
              <w:rPr>
                <w:sz w:val="22"/>
                <w:szCs w:val="22"/>
                <w:lang w:val="ro-MD"/>
              </w:rPr>
              <w:t xml:space="preserve">  </w:t>
            </w:r>
            <w:r w:rsidRPr="008E0AB4">
              <w:rPr>
                <w:b w:val="0"/>
                <w:bCs w:val="0"/>
                <w:i/>
                <w:iCs/>
                <w:sz w:val="23"/>
                <w:szCs w:val="23"/>
                <w:lang w:val="en-GB"/>
              </w:rPr>
              <w:t>019/01/PHLG-EnC</w:t>
            </w:r>
            <w:r w:rsidR="004D7925">
              <w:rPr>
                <w:b w:val="0"/>
                <w:bCs w:val="0"/>
                <w:i/>
                <w:iCs/>
                <w:sz w:val="23"/>
                <w:szCs w:val="23"/>
                <w:lang w:val="en-GB"/>
              </w:rPr>
              <w:t xml:space="preserve"> </w:t>
            </w:r>
            <w:r w:rsidRPr="004D7925">
              <w:rPr>
                <w:b w:val="0"/>
                <w:bCs w:val="0"/>
                <w:iCs/>
                <w:sz w:val="23"/>
                <w:szCs w:val="23"/>
                <w:lang w:val="en-GB"/>
              </w:rPr>
              <w:t>“T</w:t>
            </w:r>
            <w:r w:rsidRPr="004D7925">
              <w:rPr>
                <w:b w:val="0"/>
                <w:sz w:val="22"/>
                <w:szCs w:val="22"/>
                <w:lang w:val="ro-MD"/>
              </w:rPr>
              <w:t>ranspunerea se va realiza fără modificări ale structurii și textului Regulamentului (UE) 312/2014 al Comisiei, cu excepția</w:t>
            </w:r>
          </w:p>
          <w:p w14:paraId="44E0EF63" w14:textId="0DB5B8EA" w:rsidR="00151F86" w:rsidRPr="006A5D70" w:rsidRDefault="00151F86" w:rsidP="00151F86">
            <w:pPr>
              <w:jc w:val="both"/>
              <w:rPr>
                <w:sz w:val="22"/>
                <w:szCs w:val="22"/>
                <w:highlight w:val="yellow"/>
                <w:lang w:val="ro-MD"/>
              </w:rPr>
            </w:pPr>
            <w:r w:rsidRPr="004D7925">
              <w:rPr>
                <w:b w:val="0"/>
                <w:sz w:val="22"/>
                <w:szCs w:val="22"/>
                <w:lang w:val="ro-MD"/>
              </w:rPr>
              <w:t>traducerii și adaptărilor făcute prin prezenta decizie”.</w:t>
            </w:r>
          </w:p>
        </w:tc>
      </w:tr>
      <w:tr w:rsidR="006A5D70" w:rsidRPr="00511A6A" w14:paraId="35DE36D4" w14:textId="77777777" w:rsidTr="006A5D70">
        <w:trPr>
          <w:trHeight w:val="70"/>
        </w:trPr>
        <w:tc>
          <w:tcPr>
            <w:tcW w:w="339" w:type="pct"/>
          </w:tcPr>
          <w:p w14:paraId="1AC03EAB" w14:textId="30446E56" w:rsidR="006A5D70" w:rsidRPr="006A5D70" w:rsidRDefault="006A5D70" w:rsidP="00BB1A04">
            <w:pPr>
              <w:rPr>
                <w:sz w:val="22"/>
                <w:szCs w:val="22"/>
                <w:vertAlign w:val="superscript"/>
                <w:lang w:val="ro-RO"/>
              </w:rPr>
            </w:pPr>
            <w:r w:rsidRPr="006A5D70">
              <w:rPr>
                <w:sz w:val="22"/>
                <w:szCs w:val="22"/>
                <w:lang w:val="ro-RO"/>
              </w:rPr>
              <w:t>Pct.433</w:t>
            </w:r>
            <w:r w:rsidRPr="006A5D70">
              <w:rPr>
                <w:sz w:val="22"/>
                <w:szCs w:val="22"/>
                <w:vertAlign w:val="superscript"/>
                <w:lang w:val="ro-RO"/>
              </w:rPr>
              <w:t>9</w:t>
            </w:r>
          </w:p>
        </w:tc>
        <w:tc>
          <w:tcPr>
            <w:tcW w:w="536" w:type="pct"/>
          </w:tcPr>
          <w:p w14:paraId="5C30E1C3" w14:textId="77777777" w:rsidR="006A5D70" w:rsidRPr="006A5D70" w:rsidRDefault="006A5D70" w:rsidP="00BB1A04">
            <w:pPr>
              <w:rPr>
                <w:sz w:val="22"/>
                <w:szCs w:val="22"/>
                <w:lang w:val="en-GB"/>
              </w:rPr>
            </w:pPr>
          </w:p>
        </w:tc>
        <w:tc>
          <w:tcPr>
            <w:tcW w:w="1528" w:type="pct"/>
          </w:tcPr>
          <w:p w14:paraId="3DED0262" w14:textId="64FBF186" w:rsidR="00F947EB" w:rsidRPr="00F947EB" w:rsidRDefault="00F947EB" w:rsidP="00335651">
            <w:pPr>
              <w:contextualSpacing/>
              <w:jc w:val="both"/>
              <w:rPr>
                <w:sz w:val="22"/>
                <w:szCs w:val="22"/>
                <w:lang w:val="ro-MD"/>
              </w:rPr>
            </w:pPr>
            <w:r w:rsidRPr="00F947EB">
              <w:rPr>
                <w:sz w:val="22"/>
                <w:szCs w:val="22"/>
                <w:lang w:val="ro-MD"/>
              </w:rPr>
              <w:t xml:space="preserve">Schimbul de gaze naturale între două portofolii de echilibrare din cadrul unei zone de echilibrare se realizează cu ajutorul unor notificări comerciale de </w:t>
            </w:r>
            <w:r w:rsidRPr="00264148">
              <w:rPr>
                <w:sz w:val="22"/>
                <w:szCs w:val="22"/>
                <w:lang w:val="ro-MD"/>
              </w:rPr>
              <w:t xml:space="preserve">vânzare sau de </w:t>
            </w:r>
            <w:r w:rsidRPr="005F771C">
              <w:rPr>
                <w:sz w:val="22"/>
                <w:szCs w:val="22"/>
                <w:lang w:val="ro-MD"/>
              </w:rPr>
              <w:t xml:space="preserve">cumpărare, </w:t>
            </w:r>
            <w:r w:rsidRPr="00206D23">
              <w:rPr>
                <w:sz w:val="22"/>
                <w:szCs w:val="22"/>
                <w:lang w:val="ro-MD"/>
              </w:rPr>
              <w:t>înaintate către OST</w:t>
            </w:r>
            <w:r w:rsidRPr="00F947EB">
              <w:rPr>
                <w:sz w:val="22"/>
                <w:szCs w:val="22"/>
                <w:lang w:val="ro-MD"/>
              </w:rPr>
              <w:t xml:space="preserve"> în privința la ziua gazieră respectivă.</w:t>
            </w:r>
          </w:p>
          <w:p w14:paraId="5A51E628" w14:textId="77777777" w:rsidR="006A5D70" w:rsidRPr="006A5D70" w:rsidRDefault="006A5D70" w:rsidP="0080755D">
            <w:pPr>
              <w:pStyle w:val="NormalWeb"/>
              <w:tabs>
                <w:tab w:val="left" w:pos="851"/>
              </w:tabs>
              <w:ind w:firstLine="0"/>
              <w:rPr>
                <w:bCs/>
                <w:color w:val="000000"/>
                <w:sz w:val="22"/>
                <w:szCs w:val="22"/>
                <w:lang w:val="ro-MD"/>
              </w:rPr>
            </w:pPr>
          </w:p>
        </w:tc>
        <w:tc>
          <w:tcPr>
            <w:tcW w:w="1537" w:type="pct"/>
          </w:tcPr>
          <w:p w14:paraId="4B2BF120" w14:textId="4CDB0967" w:rsidR="00264148" w:rsidRDefault="006A5D70" w:rsidP="008A3E25">
            <w:pPr>
              <w:jc w:val="both"/>
              <w:rPr>
                <w:sz w:val="22"/>
                <w:szCs w:val="22"/>
                <w:lang w:val="en-US"/>
              </w:rPr>
            </w:pPr>
            <w:r w:rsidRPr="0025073D">
              <w:rPr>
                <w:sz w:val="22"/>
                <w:szCs w:val="22"/>
                <w:lang w:val="en-US"/>
              </w:rPr>
              <w:t xml:space="preserve">Regulamentul menționat nu prevede realizarea schimbului de gaze naturale între două portofolii de echilibrare prin intermediul notificărilor alternative – de vânzare </w:t>
            </w:r>
            <w:r w:rsidRPr="0025073D">
              <w:rPr>
                <w:i/>
                <w:sz w:val="22"/>
                <w:szCs w:val="22"/>
                <w:lang w:val="en-US"/>
              </w:rPr>
              <w:t xml:space="preserve">sau </w:t>
            </w:r>
            <w:r w:rsidRPr="0025073D">
              <w:rPr>
                <w:sz w:val="22"/>
                <w:szCs w:val="22"/>
                <w:lang w:val="en-US"/>
              </w:rPr>
              <w:t xml:space="preserve">de cumpărare. Potrivit art. 5 alin. (1) din Regulamentul respectiv, schimbul de gaze între două portofolii de echilibrare din cadrul unei zone de echilibrare se realizează cu ajutorul unor </w:t>
            </w:r>
            <w:r w:rsidRPr="0025073D">
              <w:rPr>
                <w:b/>
                <w:i/>
                <w:sz w:val="22"/>
                <w:szCs w:val="22"/>
                <w:lang w:val="en-US"/>
              </w:rPr>
              <w:t>notificări comerciale de cedare și de achiziționare</w:t>
            </w:r>
            <w:r w:rsidRPr="0025073D">
              <w:rPr>
                <w:sz w:val="22"/>
                <w:szCs w:val="22"/>
                <w:lang w:val="en-US"/>
              </w:rPr>
              <w:t xml:space="preserve">, înaintate operatorului de sistem de transport cu privire la ziua gazieră. Nici denumirea notificărilor comerciale - de vânzare sau de cumpărare nu corespunde cu prevederile art. 5 alin. (1). </w:t>
            </w:r>
          </w:p>
          <w:p w14:paraId="12F77117" w14:textId="1E0906F5" w:rsidR="006A5D70" w:rsidRPr="0025073D" w:rsidRDefault="006A5D70" w:rsidP="008A3E25">
            <w:pPr>
              <w:jc w:val="both"/>
              <w:rPr>
                <w:b/>
                <w:sz w:val="22"/>
                <w:szCs w:val="22"/>
                <w:lang w:val="ro-RO"/>
              </w:rPr>
            </w:pPr>
            <w:r w:rsidRPr="0025073D">
              <w:rPr>
                <w:sz w:val="22"/>
                <w:szCs w:val="22"/>
                <w:lang w:val="en-US"/>
              </w:rPr>
              <w:t>În sensul pct. 6 din Regulile pieței gazelor naturale, aprobate prin hotărârea Consiliului de administrație ANRE nr.534/2019 prin noțiunea de notificare comercială  se are în vedere o solicitare a părții responsabile de echilibrare de a transfera dreptul de proprietate asupra gazelor naturale în punctul virtual de tranzacționare. În context, se consideră oportun de a modifica pct. 433</w:t>
            </w:r>
            <w:r w:rsidRPr="0025073D">
              <w:rPr>
                <w:sz w:val="22"/>
                <w:szCs w:val="22"/>
                <w:vertAlign w:val="superscript"/>
                <w:lang w:val="en-US"/>
              </w:rPr>
              <w:t>9</w:t>
            </w:r>
            <w:r w:rsidRPr="0025073D">
              <w:rPr>
                <w:sz w:val="22"/>
                <w:szCs w:val="22"/>
                <w:lang w:val="en-US"/>
              </w:rPr>
              <w:t xml:space="preserve"> (inclusiv în celelalte puncte) în partea ce ține de denumirea notificărilor – în notificări comerciale de cedare și de achiziționare.</w:t>
            </w:r>
          </w:p>
        </w:tc>
        <w:tc>
          <w:tcPr>
            <w:cnfStyle w:val="000100000000" w:firstRow="0" w:lastRow="0" w:firstColumn="0" w:lastColumn="1" w:oddVBand="0" w:evenVBand="0" w:oddHBand="0" w:evenHBand="0" w:firstRowFirstColumn="0" w:firstRowLastColumn="0" w:lastRowFirstColumn="0" w:lastRowLastColumn="0"/>
            <w:tcW w:w="1060" w:type="pct"/>
          </w:tcPr>
          <w:p w14:paraId="7944C7DE" w14:textId="77777777" w:rsidR="004D7925" w:rsidRDefault="00264148" w:rsidP="004D7925">
            <w:pPr>
              <w:jc w:val="both"/>
              <w:rPr>
                <w:b w:val="0"/>
                <w:i/>
                <w:sz w:val="22"/>
                <w:szCs w:val="22"/>
                <w:lang w:val="ro-MD"/>
              </w:rPr>
            </w:pPr>
            <w:r w:rsidRPr="00264148">
              <w:rPr>
                <w:sz w:val="22"/>
                <w:szCs w:val="22"/>
                <w:lang w:val="ro-MD"/>
              </w:rPr>
              <w:t xml:space="preserve">Nu se acceptă. </w:t>
            </w:r>
            <w:r w:rsidRPr="00264148">
              <w:rPr>
                <w:b w:val="0"/>
                <w:sz w:val="22"/>
                <w:szCs w:val="22"/>
                <w:lang w:val="ro-MD"/>
              </w:rPr>
              <w:t xml:space="preserve">Traducerea are deficiențe și nu corespunde prevederilor </w:t>
            </w:r>
            <w:r>
              <w:rPr>
                <w:b w:val="0"/>
                <w:sz w:val="22"/>
                <w:szCs w:val="22"/>
                <w:lang w:val="ro-MD"/>
              </w:rPr>
              <w:t xml:space="preserve">pct. 31 din </w:t>
            </w:r>
            <w:r w:rsidRPr="00264148">
              <w:rPr>
                <w:b w:val="0"/>
                <w:sz w:val="22"/>
                <w:szCs w:val="22"/>
                <w:lang w:val="ro-MD"/>
              </w:rPr>
              <w:t>R</w:t>
            </w:r>
            <w:r>
              <w:rPr>
                <w:b w:val="0"/>
                <w:sz w:val="22"/>
                <w:szCs w:val="22"/>
                <w:lang w:val="ro-MD"/>
              </w:rPr>
              <w:t>egulile</w:t>
            </w:r>
            <w:r w:rsidRPr="00264148">
              <w:rPr>
                <w:b w:val="0"/>
                <w:sz w:val="22"/>
                <w:szCs w:val="22"/>
                <w:lang w:val="ro-MD"/>
              </w:rPr>
              <w:t xml:space="preserve"> pieței gazelor naturale</w:t>
            </w:r>
            <w:r w:rsidRPr="00264148">
              <w:rPr>
                <w:sz w:val="22"/>
                <w:szCs w:val="22"/>
                <w:lang w:val="ro-MD"/>
              </w:rPr>
              <w:t xml:space="preserve"> </w:t>
            </w:r>
            <w:r w:rsidRPr="00264148">
              <w:rPr>
                <w:b w:val="0"/>
                <w:sz w:val="22"/>
                <w:szCs w:val="22"/>
                <w:lang w:val="ro-MD"/>
              </w:rPr>
              <w:t>aprobate prin Hotărârea ANRE nr 534/2019.</w:t>
            </w:r>
            <w:r w:rsidRPr="00264148">
              <w:rPr>
                <w:b w:val="0"/>
                <w:i/>
                <w:sz w:val="22"/>
                <w:szCs w:val="22"/>
                <w:lang w:val="ro-MD"/>
              </w:rPr>
              <w:t xml:space="preserve"> </w:t>
            </w:r>
          </w:p>
          <w:p w14:paraId="0B4EB4DE" w14:textId="2682921B" w:rsidR="00264148" w:rsidRPr="0010120D" w:rsidRDefault="00264148" w:rsidP="004D7925">
            <w:pPr>
              <w:jc w:val="both"/>
              <w:rPr>
                <w:lang w:val="en-GB"/>
              </w:rPr>
            </w:pPr>
            <w:r w:rsidRPr="00264148">
              <w:rPr>
                <w:b w:val="0"/>
                <w:i/>
                <w:sz w:val="22"/>
                <w:szCs w:val="22"/>
                <w:lang w:val="ro-MD"/>
              </w:rPr>
              <w:t>„</w:t>
            </w:r>
            <w:r w:rsidRPr="00264148">
              <w:rPr>
                <w:b w:val="0"/>
                <w:i/>
                <w:lang w:val="en-GB"/>
              </w:rPr>
              <w:t>3</w:t>
            </w:r>
            <w:r w:rsidR="004D7925">
              <w:rPr>
                <w:b w:val="0"/>
                <w:i/>
                <w:lang w:val="en-GB"/>
              </w:rPr>
              <w:t xml:space="preserve">1 </w:t>
            </w:r>
            <w:r w:rsidRPr="00264148">
              <w:rPr>
                <w:b w:val="0"/>
                <w:i/>
                <w:lang w:val="en-GB"/>
              </w:rPr>
              <w:t>Partea contractantă care cumpără gaze naturale trebuie să facă o notificare comercială de cumpărare, în timp ce partea contractantă care vinde gaze naturale va face o notificare comercială de vânzare;”</w:t>
            </w:r>
          </w:p>
          <w:p w14:paraId="39BA29B1" w14:textId="2C2F06D6" w:rsidR="006A5D70" w:rsidRPr="00264148" w:rsidRDefault="006A5D70" w:rsidP="00264148">
            <w:pPr>
              <w:jc w:val="both"/>
              <w:rPr>
                <w:sz w:val="22"/>
                <w:szCs w:val="22"/>
                <w:highlight w:val="yellow"/>
                <w:lang w:val="en-GB"/>
              </w:rPr>
            </w:pPr>
          </w:p>
        </w:tc>
      </w:tr>
      <w:tr w:rsidR="006A5D70" w:rsidRPr="006A5D70" w14:paraId="0E541C34" w14:textId="77777777" w:rsidTr="0025073D">
        <w:trPr>
          <w:trHeight w:val="1836"/>
        </w:trPr>
        <w:tc>
          <w:tcPr>
            <w:tcW w:w="339" w:type="pct"/>
          </w:tcPr>
          <w:p w14:paraId="39760A29" w14:textId="77777777" w:rsidR="006A5D70" w:rsidRPr="006A5D70" w:rsidRDefault="006A5D70" w:rsidP="00BB1A04">
            <w:pPr>
              <w:rPr>
                <w:sz w:val="22"/>
                <w:szCs w:val="22"/>
                <w:lang w:val="ro-RO"/>
              </w:rPr>
            </w:pPr>
            <w:r w:rsidRPr="006A5D70">
              <w:rPr>
                <w:sz w:val="22"/>
                <w:szCs w:val="22"/>
                <w:lang w:val="ro-RO"/>
              </w:rPr>
              <w:lastRenderedPageBreak/>
              <w:t>Pct.</w:t>
            </w:r>
          </w:p>
          <w:p w14:paraId="30C85CDD" w14:textId="33D625D4" w:rsidR="006A5D70" w:rsidRPr="006A5D70" w:rsidRDefault="006A5D70" w:rsidP="00BB1A04">
            <w:pPr>
              <w:rPr>
                <w:sz w:val="22"/>
                <w:szCs w:val="22"/>
                <w:vertAlign w:val="superscript"/>
                <w:lang w:val="ro-RO"/>
              </w:rPr>
            </w:pPr>
            <w:r w:rsidRPr="006A5D70">
              <w:rPr>
                <w:sz w:val="22"/>
                <w:szCs w:val="22"/>
                <w:lang w:val="ro-RO"/>
              </w:rPr>
              <w:t>433</w:t>
            </w:r>
            <w:r w:rsidRPr="006A5D70">
              <w:rPr>
                <w:sz w:val="22"/>
                <w:szCs w:val="22"/>
                <w:vertAlign w:val="superscript"/>
                <w:lang w:val="ro-RO"/>
              </w:rPr>
              <w:t>17</w:t>
            </w:r>
          </w:p>
        </w:tc>
        <w:tc>
          <w:tcPr>
            <w:tcW w:w="536" w:type="pct"/>
          </w:tcPr>
          <w:p w14:paraId="119F499A" w14:textId="77777777" w:rsidR="006A5D70" w:rsidRPr="006A5D70" w:rsidRDefault="006A5D70" w:rsidP="00335651">
            <w:pPr>
              <w:rPr>
                <w:sz w:val="22"/>
                <w:szCs w:val="22"/>
                <w:lang w:val="en-GB"/>
              </w:rPr>
            </w:pPr>
          </w:p>
        </w:tc>
        <w:tc>
          <w:tcPr>
            <w:tcW w:w="1528" w:type="pct"/>
          </w:tcPr>
          <w:p w14:paraId="53A26312" w14:textId="77777777" w:rsidR="00F947EB" w:rsidRPr="00F947EB" w:rsidRDefault="00F947EB" w:rsidP="0080755D">
            <w:pPr>
              <w:jc w:val="both"/>
              <w:rPr>
                <w:sz w:val="22"/>
                <w:szCs w:val="22"/>
                <w:lang w:val="ro-MD"/>
              </w:rPr>
            </w:pPr>
            <w:r w:rsidRPr="00F947EB">
              <w:rPr>
                <w:sz w:val="22"/>
                <w:szCs w:val="22"/>
                <w:lang w:val="ro-MD"/>
              </w:rPr>
              <w:t>Punctele 433</w:t>
            </w:r>
            <w:r w:rsidRPr="00F947EB">
              <w:rPr>
                <w:sz w:val="22"/>
                <w:szCs w:val="22"/>
                <w:vertAlign w:val="superscript"/>
                <w:lang w:val="ro-MD"/>
              </w:rPr>
              <w:t>9</w:t>
            </w:r>
            <w:r w:rsidRPr="00F947EB">
              <w:rPr>
                <w:sz w:val="22"/>
                <w:szCs w:val="22"/>
                <w:lang w:val="ro-MD"/>
              </w:rPr>
              <w:t xml:space="preserve"> – 433</w:t>
            </w:r>
            <w:r w:rsidRPr="00F947EB">
              <w:rPr>
                <w:sz w:val="22"/>
                <w:szCs w:val="22"/>
                <w:vertAlign w:val="superscript"/>
                <w:lang w:val="ro-MD"/>
              </w:rPr>
              <w:t xml:space="preserve">16 </w:t>
            </w:r>
            <w:r w:rsidRPr="00F947EB">
              <w:rPr>
                <w:sz w:val="22"/>
                <w:szCs w:val="22"/>
                <w:lang w:val="ro-MD"/>
              </w:rPr>
              <w:t>se aplică, mutatis mutandis, OST  participanți la tranzacție în conformitate cu pct. 433</w:t>
            </w:r>
            <w:r w:rsidRPr="00F947EB">
              <w:rPr>
                <w:sz w:val="22"/>
                <w:szCs w:val="22"/>
                <w:vertAlign w:val="superscript"/>
                <w:lang w:val="ro-MD"/>
              </w:rPr>
              <w:t>20</w:t>
            </w:r>
            <w:r w:rsidRPr="00F947EB">
              <w:rPr>
                <w:sz w:val="22"/>
                <w:szCs w:val="22"/>
                <w:lang w:val="ro-MD"/>
              </w:rPr>
              <w:t xml:space="preserve"> subpunct 1). </w:t>
            </w:r>
          </w:p>
          <w:p w14:paraId="26D75F14" w14:textId="77777777" w:rsidR="006A5D70" w:rsidRPr="006A5D70" w:rsidRDefault="006A5D70" w:rsidP="008A3E25">
            <w:pPr>
              <w:pStyle w:val="NormalWeb"/>
              <w:tabs>
                <w:tab w:val="left" w:pos="851"/>
              </w:tabs>
              <w:ind w:firstLine="0"/>
              <w:rPr>
                <w:bCs/>
                <w:color w:val="000000"/>
                <w:sz w:val="22"/>
                <w:szCs w:val="22"/>
                <w:lang w:val="ro-MD"/>
              </w:rPr>
            </w:pPr>
          </w:p>
        </w:tc>
        <w:tc>
          <w:tcPr>
            <w:tcW w:w="1537" w:type="pct"/>
          </w:tcPr>
          <w:p w14:paraId="2F675CB5" w14:textId="5B5CA78A" w:rsidR="006A5D70" w:rsidRPr="00264148" w:rsidRDefault="00F947EB" w:rsidP="008E0AB4">
            <w:pPr>
              <w:jc w:val="both"/>
              <w:rPr>
                <w:b/>
                <w:i/>
                <w:sz w:val="22"/>
                <w:szCs w:val="22"/>
                <w:lang w:val="ro-RO"/>
              </w:rPr>
            </w:pPr>
            <w:r>
              <w:rPr>
                <w:sz w:val="22"/>
                <w:szCs w:val="22"/>
                <w:lang w:val="en-US"/>
              </w:rPr>
              <w:t>C</w:t>
            </w:r>
            <w:r w:rsidR="006A5D70" w:rsidRPr="006A5D70">
              <w:rPr>
                <w:sz w:val="22"/>
                <w:szCs w:val="22"/>
                <w:lang w:val="en-US"/>
              </w:rPr>
              <w:t>uvintel</w:t>
            </w:r>
            <w:r w:rsidR="00FA7F1B">
              <w:rPr>
                <w:sz w:val="22"/>
                <w:szCs w:val="22"/>
                <w:lang w:val="en-US"/>
              </w:rPr>
              <w:t>e „participanți la tranzacție” de</w:t>
            </w:r>
            <w:r w:rsidR="006A5D70" w:rsidRPr="006A5D70">
              <w:rPr>
                <w:sz w:val="22"/>
                <w:szCs w:val="22"/>
                <w:lang w:val="en-US"/>
              </w:rPr>
              <w:t xml:space="preserve"> substitui</w:t>
            </w:r>
            <w:r w:rsidR="00FA7F1B">
              <w:rPr>
                <w:sz w:val="22"/>
                <w:szCs w:val="22"/>
                <w:lang w:val="en-US"/>
              </w:rPr>
              <w:t>t</w:t>
            </w:r>
            <w:r w:rsidR="006A5D70" w:rsidRPr="006A5D70">
              <w:rPr>
                <w:sz w:val="22"/>
                <w:szCs w:val="22"/>
                <w:lang w:val="en-US"/>
              </w:rPr>
              <w:t xml:space="preserve"> cu cuvintele „participanți la tranzacționare”. În sensul art. 5 alin. (9) din Regulamentul (CE) NR. 312/2014 se are în vedere acțiunea de a tranzacționa și rezultatul ei și nu însăși tranzacția care reprezintă o înțelegere, acord deja încheiat.</w:t>
            </w:r>
          </w:p>
        </w:tc>
        <w:tc>
          <w:tcPr>
            <w:cnfStyle w:val="000100000000" w:firstRow="0" w:lastRow="0" w:firstColumn="0" w:lastColumn="1" w:oddVBand="0" w:evenVBand="0" w:oddHBand="0" w:evenHBand="0" w:firstRowFirstColumn="0" w:firstRowLastColumn="0" w:lastRowFirstColumn="0" w:lastRowLastColumn="0"/>
            <w:tcW w:w="1060" w:type="pct"/>
          </w:tcPr>
          <w:p w14:paraId="2B5C4873" w14:textId="65AF4D9A" w:rsidR="006A5D70" w:rsidRPr="006A5D70" w:rsidRDefault="00CD23E1" w:rsidP="00395552">
            <w:pPr>
              <w:jc w:val="both"/>
              <w:rPr>
                <w:sz w:val="22"/>
                <w:szCs w:val="22"/>
                <w:highlight w:val="yellow"/>
                <w:lang w:val="ro-MD"/>
              </w:rPr>
            </w:pPr>
            <w:r w:rsidRPr="00264148">
              <w:rPr>
                <w:sz w:val="22"/>
                <w:szCs w:val="22"/>
                <w:lang w:val="ro-MD"/>
              </w:rPr>
              <w:t>Se acceptă</w:t>
            </w:r>
          </w:p>
        </w:tc>
      </w:tr>
      <w:tr w:rsidR="006A5D70" w:rsidRPr="00511A6A" w14:paraId="064A356C" w14:textId="77777777" w:rsidTr="006A5D70">
        <w:trPr>
          <w:trHeight w:val="70"/>
        </w:trPr>
        <w:tc>
          <w:tcPr>
            <w:tcW w:w="339" w:type="pct"/>
          </w:tcPr>
          <w:p w14:paraId="7F2F8BB3" w14:textId="77777777" w:rsidR="006A5D70" w:rsidRPr="006A5D70" w:rsidRDefault="006A5D70" w:rsidP="00BB1A04">
            <w:pPr>
              <w:rPr>
                <w:sz w:val="22"/>
                <w:szCs w:val="22"/>
                <w:lang w:val="ro-RO"/>
              </w:rPr>
            </w:pPr>
            <w:r w:rsidRPr="006A5D70">
              <w:rPr>
                <w:sz w:val="22"/>
                <w:szCs w:val="22"/>
                <w:lang w:val="ro-RO"/>
              </w:rPr>
              <w:t>Pct.</w:t>
            </w:r>
          </w:p>
          <w:p w14:paraId="0667D04D" w14:textId="6A66A75D" w:rsidR="006A5D70" w:rsidRPr="006A5D70" w:rsidRDefault="006A5D70" w:rsidP="00BB1A04">
            <w:pPr>
              <w:rPr>
                <w:b/>
                <w:sz w:val="22"/>
                <w:szCs w:val="22"/>
                <w:vertAlign w:val="superscript"/>
                <w:lang w:val="ro-RO"/>
              </w:rPr>
            </w:pPr>
            <w:r w:rsidRPr="006A5D70">
              <w:rPr>
                <w:sz w:val="22"/>
                <w:szCs w:val="22"/>
                <w:lang w:val="ro-RO"/>
              </w:rPr>
              <w:t>433</w:t>
            </w:r>
            <w:r w:rsidRPr="006A5D70">
              <w:rPr>
                <w:sz w:val="22"/>
                <w:szCs w:val="22"/>
                <w:vertAlign w:val="superscript"/>
                <w:lang w:val="ro-RO"/>
              </w:rPr>
              <w:t>18</w:t>
            </w:r>
          </w:p>
        </w:tc>
        <w:tc>
          <w:tcPr>
            <w:tcW w:w="536" w:type="pct"/>
          </w:tcPr>
          <w:p w14:paraId="57AEBE63" w14:textId="77777777" w:rsidR="006A5D70" w:rsidRPr="006A5D70" w:rsidRDefault="006A5D70" w:rsidP="00335651">
            <w:pPr>
              <w:rPr>
                <w:sz w:val="22"/>
                <w:szCs w:val="22"/>
                <w:lang w:val="en-GB"/>
              </w:rPr>
            </w:pPr>
          </w:p>
        </w:tc>
        <w:tc>
          <w:tcPr>
            <w:tcW w:w="1528" w:type="pct"/>
          </w:tcPr>
          <w:p w14:paraId="7DE245E3" w14:textId="5C7EE68D" w:rsidR="00F947EB" w:rsidRPr="00F947EB" w:rsidRDefault="00F947EB" w:rsidP="0080755D">
            <w:pPr>
              <w:jc w:val="both"/>
              <w:rPr>
                <w:sz w:val="22"/>
                <w:szCs w:val="22"/>
                <w:lang w:val="ro-MD"/>
              </w:rPr>
            </w:pPr>
            <w:r w:rsidRPr="00F947EB">
              <w:rPr>
                <w:sz w:val="22"/>
                <w:szCs w:val="22"/>
                <w:lang w:val="ro-MD"/>
              </w:rPr>
              <w:t>OST întreprinde</w:t>
            </w:r>
            <w:r w:rsidRPr="00F947EB" w:rsidDel="009A7AA9">
              <w:rPr>
                <w:sz w:val="22"/>
                <w:szCs w:val="22"/>
                <w:lang w:val="ro-MD"/>
              </w:rPr>
              <w:t xml:space="preserve"> </w:t>
            </w:r>
            <w:r w:rsidRPr="00F947EB">
              <w:rPr>
                <w:sz w:val="22"/>
                <w:szCs w:val="22"/>
                <w:lang w:val="ro-MD"/>
              </w:rPr>
              <w:t>acțiuni de echilibrare cu scopul:</w:t>
            </w:r>
          </w:p>
          <w:p w14:paraId="6CA01477" w14:textId="77777777" w:rsidR="00F947EB" w:rsidRPr="00F947EB" w:rsidRDefault="00F947EB" w:rsidP="00264148">
            <w:pPr>
              <w:jc w:val="both"/>
              <w:rPr>
                <w:sz w:val="22"/>
                <w:szCs w:val="22"/>
                <w:lang w:val="ro-MD"/>
              </w:rPr>
            </w:pPr>
            <w:r w:rsidRPr="00F947EB">
              <w:rPr>
                <w:sz w:val="22"/>
                <w:szCs w:val="22"/>
                <w:lang w:val="ro-MD"/>
              </w:rPr>
              <w:t>1) de a menține rețeaua de transport în limitele sale operaționale;</w:t>
            </w:r>
          </w:p>
          <w:p w14:paraId="65CAC071" w14:textId="44254ECF" w:rsidR="006A5D70" w:rsidRPr="00264148" w:rsidRDefault="00F947EB" w:rsidP="00264148">
            <w:pPr>
              <w:jc w:val="both"/>
              <w:rPr>
                <w:sz w:val="22"/>
                <w:szCs w:val="22"/>
                <w:lang w:val="ro-MD"/>
              </w:rPr>
            </w:pPr>
            <w:r w:rsidRPr="00F947EB">
              <w:rPr>
                <w:sz w:val="22"/>
                <w:szCs w:val="22"/>
                <w:lang w:val="ro-MD"/>
              </w:rPr>
              <w:t>2) de a asigura stocarea unei cantităţi corespunzătoare de gaze naturale în reţeaua de transport al gazelor naturale din zona de echilibrare a Republicii Moldova la sfârşitul zilei gaziere, diferită de cea prognozată pe baza intrărilor şi ieşirilor preconizate prognozate pentru acea zi gazieră, în aşa mod încât să asigure funcţionarea economică şi eficientă a reţelelor de transport al gazelor naturale.</w:t>
            </w:r>
          </w:p>
        </w:tc>
        <w:tc>
          <w:tcPr>
            <w:tcW w:w="1537" w:type="pct"/>
          </w:tcPr>
          <w:p w14:paraId="2E459F25" w14:textId="39176A93" w:rsidR="006A5D70" w:rsidRPr="006A5D70" w:rsidRDefault="006A5D70" w:rsidP="00395552">
            <w:pPr>
              <w:jc w:val="both"/>
              <w:rPr>
                <w:b/>
                <w:sz w:val="22"/>
                <w:szCs w:val="22"/>
                <w:lang w:val="ro-RO"/>
              </w:rPr>
            </w:pPr>
            <w:r w:rsidRPr="006A5D70">
              <w:rPr>
                <w:sz w:val="22"/>
                <w:szCs w:val="22"/>
                <w:lang w:val="en-US"/>
              </w:rPr>
              <w:t>Redacția pct. 433</w:t>
            </w:r>
            <w:r w:rsidRPr="006A5D70">
              <w:rPr>
                <w:sz w:val="22"/>
                <w:szCs w:val="22"/>
                <w:vertAlign w:val="superscript"/>
                <w:lang w:val="en-US"/>
              </w:rPr>
              <w:t>18</w:t>
            </w:r>
            <w:r w:rsidR="00FA7F1B">
              <w:rPr>
                <w:sz w:val="22"/>
                <w:szCs w:val="22"/>
                <w:lang w:val="en-US"/>
              </w:rPr>
              <w:t xml:space="preserve"> sbp. 2) de</w:t>
            </w:r>
            <w:r w:rsidRPr="006A5D70">
              <w:rPr>
                <w:sz w:val="22"/>
                <w:szCs w:val="22"/>
                <w:lang w:val="en-US"/>
              </w:rPr>
              <w:t xml:space="preserve"> modifica</w:t>
            </w:r>
            <w:r w:rsidR="00FA7F1B">
              <w:rPr>
                <w:sz w:val="22"/>
                <w:szCs w:val="22"/>
                <w:lang w:val="en-US"/>
              </w:rPr>
              <w:t>t</w:t>
            </w:r>
            <w:r w:rsidRPr="006A5D70">
              <w:rPr>
                <w:sz w:val="22"/>
                <w:szCs w:val="22"/>
                <w:lang w:val="en-US"/>
              </w:rPr>
              <w:t xml:space="preserve"> prin prisma art. 6 alin. (1) din Regulamentul (CE) NR. 312/2014 care face referire la „exploatarea viabilă din punct de vedere economic și eficientă a rețelei de transport” și nu la „funcționarea economică a rețelelor de transport”.</w:t>
            </w:r>
          </w:p>
        </w:tc>
        <w:tc>
          <w:tcPr>
            <w:cnfStyle w:val="000100000000" w:firstRow="0" w:lastRow="0" w:firstColumn="0" w:lastColumn="1" w:oddVBand="0" w:evenVBand="0" w:oddHBand="0" w:evenHBand="0" w:firstRowFirstColumn="0" w:firstRowLastColumn="0" w:lastRowFirstColumn="0" w:lastRowLastColumn="0"/>
            <w:tcW w:w="1060" w:type="pct"/>
          </w:tcPr>
          <w:p w14:paraId="3FF71E17" w14:textId="03022D2F" w:rsidR="006A5D70" w:rsidRPr="006A5D70" w:rsidRDefault="00FB2036" w:rsidP="00264148">
            <w:pPr>
              <w:jc w:val="both"/>
              <w:rPr>
                <w:sz w:val="22"/>
                <w:szCs w:val="22"/>
                <w:highlight w:val="yellow"/>
                <w:lang w:val="ro-MD"/>
              </w:rPr>
            </w:pPr>
            <w:r>
              <w:rPr>
                <w:sz w:val="22"/>
                <w:szCs w:val="22"/>
                <w:lang w:val="ro-MD"/>
              </w:rPr>
              <w:t xml:space="preserve">Nu se acceptă. </w:t>
            </w:r>
            <w:r w:rsidRPr="00FB2036">
              <w:rPr>
                <w:b w:val="0"/>
                <w:sz w:val="22"/>
                <w:szCs w:val="22"/>
                <w:lang w:val="ro-MD"/>
              </w:rPr>
              <w:t>După context este vorba de funcționarea rețelelor de transport și nu de exploatarea acestora.</w:t>
            </w:r>
            <w:r w:rsidR="00CD23E1" w:rsidRPr="00264148">
              <w:rPr>
                <w:sz w:val="22"/>
                <w:szCs w:val="22"/>
                <w:lang w:val="ro-MD"/>
              </w:rPr>
              <w:t xml:space="preserve"> </w:t>
            </w:r>
          </w:p>
        </w:tc>
      </w:tr>
      <w:tr w:rsidR="006A5D70" w:rsidRPr="006A5D70" w14:paraId="533DADA2" w14:textId="77777777" w:rsidTr="006A5D70">
        <w:trPr>
          <w:trHeight w:val="70"/>
        </w:trPr>
        <w:tc>
          <w:tcPr>
            <w:tcW w:w="339" w:type="pct"/>
          </w:tcPr>
          <w:p w14:paraId="43D12FF8" w14:textId="77777777" w:rsidR="006A5D70" w:rsidRPr="006A5D70" w:rsidRDefault="006A5D70" w:rsidP="00BB1A04">
            <w:pPr>
              <w:rPr>
                <w:sz w:val="22"/>
                <w:szCs w:val="22"/>
                <w:lang w:val="ro-RO"/>
              </w:rPr>
            </w:pPr>
            <w:r w:rsidRPr="006A5D70">
              <w:rPr>
                <w:sz w:val="22"/>
                <w:szCs w:val="22"/>
                <w:lang w:val="ro-RO"/>
              </w:rPr>
              <w:t>Pct.</w:t>
            </w:r>
          </w:p>
          <w:p w14:paraId="7D6546EA" w14:textId="45009E99" w:rsidR="006A5D70" w:rsidRPr="006A5D70" w:rsidRDefault="006A5D70" w:rsidP="00BB1A04">
            <w:pPr>
              <w:rPr>
                <w:sz w:val="22"/>
                <w:szCs w:val="22"/>
                <w:vertAlign w:val="superscript"/>
                <w:lang w:val="ro-RO"/>
              </w:rPr>
            </w:pPr>
            <w:r w:rsidRPr="006A5D70">
              <w:rPr>
                <w:sz w:val="22"/>
                <w:szCs w:val="22"/>
                <w:lang w:val="ro-RO"/>
              </w:rPr>
              <w:t>433</w:t>
            </w:r>
            <w:r w:rsidRPr="006A5D70">
              <w:rPr>
                <w:sz w:val="22"/>
                <w:szCs w:val="22"/>
                <w:vertAlign w:val="superscript"/>
                <w:lang w:val="ro-RO"/>
              </w:rPr>
              <w:t>19</w:t>
            </w:r>
          </w:p>
        </w:tc>
        <w:tc>
          <w:tcPr>
            <w:tcW w:w="536" w:type="pct"/>
          </w:tcPr>
          <w:p w14:paraId="315E7A44" w14:textId="77777777" w:rsidR="006A5D70" w:rsidRPr="006A5D70" w:rsidRDefault="006A5D70" w:rsidP="00335651">
            <w:pPr>
              <w:rPr>
                <w:sz w:val="22"/>
                <w:szCs w:val="22"/>
                <w:lang w:val="en-GB"/>
              </w:rPr>
            </w:pPr>
          </w:p>
        </w:tc>
        <w:tc>
          <w:tcPr>
            <w:tcW w:w="1528" w:type="pct"/>
          </w:tcPr>
          <w:p w14:paraId="40B53F94" w14:textId="77777777" w:rsidR="00F947EB" w:rsidRPr="00F947EB" w:rsidRDefault="00F947EB" w:rsidP="0080755D">
            <w:pPr>
              <w:jc w:val="both"/>
              <w:rPr>
                <w:sz w:val="22"/>
                <w:szCs w:val="22"/>
                <w:lang w:val="ro-MD"/>
              </w:rPr>
            </w:pPr>
            <w:r w:rsidRPr="00F947EB">
              <w:rPr>
                <w:sz w:val="22"/>
                <w:szCs w:val="22"/>
                <w:lang w:val="ro-MD"/>
              </w:rPr>
              <w:t>La determinarea acțiunilor de echilibrare, OST ia în considerare cel puțin următoarele aspecte referitoare la zona de echilibrare:</w:t>
            </w:r>
          </w:p>
          <w:p w14:paraId="0454DD45" w14:textId="77777777" w:rsidR="00F947EB" w:rsidRPr="00F947EB" w:rsidRDefault="00F947EB" w:rsidP="008A3E25">
            <w:pPr>
              <w:ind w:firstLine="708"/>
              <w:jc w:val="both"/>
              <w:rPr>
                <w:sz w:val="22"/>
                <w:szCs w:val="22"/>
                <w:lang w:val="ro-MD"/>
              </w:rPr>
            </w:pPr>
            <w:r w:rsidRPr="00F947EB">
              <w:rPr>
                <w:sz w:val="22"/>
                <w:szCs w:val="22"/>
                <w:lang w:val="ro-MD"/>
              </w:rPr>
              <w:t>1) prognozele OST privind cererea de gaze naturale pe parcursul zilei gaziere, pentru care ar putea fi necesare acţiunile de echilibrare;</w:t>
            </w:r>
          </w:p>
          <w:p w14:paraId="46B96500" w14:textId="77777777" w:rsidR="00F947EB" w:rsidRPr="00F947EB" w:rsidRDefault="00F947EB" w:rsidP="00C45E6F">
            <w:pPr>
              <w:ind w:firstLine="708"/>
              <w:jc w:val="both"/>
              <w:rPr>
                <w:sz w:val="22"/>
                <w:szCs w:val="22"/>
                <w:lang w:val="ro-MD"/>
              </w:rPr>
            </w:pPr>
            <w:r w:rsidRPr="00F947EB">
              <w:rPr>
                <w:sz w:val="22"/>
                <w:szCs w:val="22"/>
                <w:lang w:val="ro-MD"/>
              </w:rPr>
              <w:t>2) informațiile privind nominalizarea și alocarea, precum și fluxurile de gaze naturale măsurate;</w:t>
            </w:r>
          </w:p>
          <w:p w14:paraId="108554E7" w14:textId="1741E837" w:rsidR="006A5D70" w:rsidRPr="00264148" w:rsidRDefault="00F947EB" w:rsidP="00264148">
            <w:pPr>
              <w:ind w:firstLine="708"/>
              <w:jc w:val="both"/>
              <w:rPr>
                <w:sz w:val="22"/>
                <w:szCs w:val="22"/>
                <w:lang w:val="ro-MD"/>
              </w:rPr>
            </w:pPr>
            <w:r w:rsidRPr="00F947EB">
              <w:rPr>
                <w:sz w:val="22"/>
                <w:szCs w:val="22"/>
                <w:lang w:val="ro-MD"/>
              </w:rPr>
              <w:t>3) presiunea în reţeaua d</w:t>
            </w:r>
            <w:r w:rsidR="00264148">
              <w:rPr>
                <w:sz w:val="22"/>
                <w:szCs w:val="22"/>
                <w:lang w:val="ro-MD"/>
              </w:rPr>
              <w:t>e transport a gazelor naturale.</w:t>
            </w:r>
          </w:p>
        </w:tc>
        <w:tc>
          <w:tcPr>
            <w:tcW w:w="1537" w:type="pct"/>
          </w:tcPr>
          <w:p w14:paraId="6616DF5B" w14:textId="0CE21B58" w:rsidR="006A5D70" w:rsidRPr="006A5D70" w:rsidRDefault="003C3D04" w:rsidP="00395552">
            <w:pPr>
              <w:jc w:val="both"/>
              <w:rPr>
                <w:b/>
                <w:sz w:val="22"/>
                <w:szCs w:val="22"/>
                <w:lang w:val="ro-RO"/>
              </w:rPr>
            </w:pPr>
            <w:r>
              <w:rPr>
                <w:sz w:val="22"/>
                <w:szCs w:val="22"/>
                <w:lang w:val="en-US"/>
              </w:rPr>
              <w:t>De corelat</w:t>
            </w:r>
            <w:r w:rsidR="006A5D70" w:rsidRPr="006A5D70">
              <w:rPr>
                <w:sz w:val="22"/>
                <w:szCs w:val="22"/>
                <w:lang w:val="en-US"/>
              </w:rPr>
              <w:t xml:space="preserve"> cu art. 6 alin. (2) din Regulamentul (CE) NR. 312/2014. Cuvintele „La determina</w:t>
            </w:r>
            <w:r w:rsidR="00FA7F1B">
              <w:rPr>
                <w:sz w:val="22"/>
                <w:szCs w:val="22"/>
                <w:lang w:val="en-US"/>
              </w:rPr>
              <w:t xml:space="preserve">rea acțiunilor de echilibrare” de </w:t>
            </w:r>
            <w:r w:rsidR="006A5D70" w:rsidRPr="006A5D70">
              <w:rPr>
                <w:sz w:val="22"/>
                <w:szCs w:val="22"/>
                <w:lang w:val="en-US"/>
              </w:rPr>
              <w:t>substitui</w:t>
            </w:r>
            <w:r w:rsidR="00FA7F1B">
              <w:rPr>
                <w:sz w:val="22"/>
                <w:szCs w:val="22"/>
                <w:lang w:val="en-US"/>
              </w:rPr>
              <w:t>t</w:t>
            </w:r>
            <w:r w:rsidR="006A5D70" w:rsidRPr="006A5D70">
              <w:rPr>
                <w:sz w:val="22"/>
                <w:szCs w:val="22"/>
                <w:lang w:val="en-US"/>
              </w:rPr>
              <w:t xml:space="preserve"> cu cuvintele „În momentul desfășurării de acțiuni d</w:t>
            </w:r>
            <w:r w:rsidR="00FA7F1B">
              <w:rPr>
                <w:sz w:val="22"/>
                <w:szCs w:val="22"/>
                <w:lang w:val="en-US"/>
              </w:rPr>
              <w:t>e echilibrare”, iar la sbp. 3) de</w:t>
            </w:r>
            <w:r w:rsidR="006A5D70" w:rsidRPr="006A5D70">
              <w:rPr>
                <w:sz w:val="22"/>
                <w:szCs w:val="22"/>
                <w:lang w:val="en-US"/>
              </w:rPr>
              <w:t xml:space="preserve"> specifica</w:t>
            </w:r>
            <w:r w:rsidR="00FA7F1B">
              <w:rPr>
                <w:sz w:val="22"/>
                <w:szCs w:val="22"/>
                <w:lang w:val="en-US"/>
              </w:rPr>
              <w:t>t</w:t>
            </w:r>
            <w:r w:rsidR="006A5D70" w:rsidRPr="006A5D70">
              <w:rPr>
                <w:sz w:val="22"/>
                <w:szCs w:val="22"/>
                <w:lang w:val="en-US"/>
              </w:rPr>
              <w:t xml:space="preserve"> </w:t>
            </w:r>
            <w:r w:rsidR="006A5D70" w:rsidRPr="006A5D70">
              <w:rPr>
                <w:b/>
                <w:i/>
                <w:sz w:val="22"/>
                <w:szCs w:val="22"/>
                <w:lang w:val="en-US"/>
              </w:rPr>
              <w:t>presiunea gazelor la nivelul întregii (întregilor) rețele de transport</w:t>
            </w:r>
            <w:r w:rsidR="006A5D70" w:rsidRPr="006A5D70">
              <w:rPr>
                <w:sz w:val="22"/>
                <w:szCs w:val="22"/>
                <w:lang w:val="en-US"/>
              </w:rPr>
              <w:t>.</w:t>
            </w:r>
          </w:p>
        </w:tc>
        <w:tc>
          <w:tcPr>
            <w:cnfStyle w:val="000100000000" w:firstRow="0" w:lastRow="0" w:firstColumn="0" w:lastColumn="1" w:oddVBand="0" w:evenVBand="0" w:oddHBand="0" w:evenHBand="0" w:firstRowFirstColumn="0" w:firstRowLastColumn="0" w:lastRowFirstColumn="0" w:lastRowLastColumn="0"/>
            <w:tcW w:w="1060" w:type="pct"/>
          </w:tcPr>
          <w:p w14:paraId="256D41E6" w14:textId="77777777" w:rsidR="00572BCC" w:rsidRPr="00264148" w:rsidRDefault="00572BCC" w:rsidP="00EF13E1">
            <w:pPr>
              <w:jc w:val="both"/>
              <w:rPr>
                <w:sz w:val="22"/>
                <w:szCs w:val="22"/>
                <w:lang w:val="ro-MD"/>
              </w:rPr>
            </w:pPr>
            <w:r w:rsidRPr="00264148">
              <w:rPr>
                <w:sz w:val="22"/>
                <w:szCs w:val="22"/>
                <w:lang w:val="ro-MD"/>
              </w:rPr>
              <w:t>Se accept</w:t>
            </w:r>
            <w:r w:rsidR="00F33839" w:rsidRPr="00264148">
              <w:rPr>
                <w:sz w:val="22"/>
                <w:szCs w:val="22"/>
                <w:lang w:val="ro-MD"/>
              </w:rPr>
              <w:t>ă</w:t>
            </w:r>
          </w:p>
          <w:p w14:paraId="3B275B95" w14:textId="77777777" w:rsidR="00F33839" w:rsidRDefault="00F33839" w:rsidP="00FD1806">
            <w:pPr>
              <w:jc w:val="both"/>
              <w:rPr>
                <w:sz w:val="22"/>
                <w:szCs w:val="22"/>
                <w:highlight w:val="yellow"/>
                <w:lang w:val="ro-MD"/>
              </w:rPr>
            </w:pPr>
          </w:p>
          <w:p w14:paraId="31B53B0C" w14:textId="77777777" w:rsidR="00F33839" w:rsidRDefault="00F33839" w:rsidP="00264148">
            <w:pPr>
              <w:jc w:val="both"/>
              <w:rPr>
                <w:sz w:val="22"/>
                <w:szCs w:val="22"/>
                <w:highlight w:val="yellow"/>
                <w:lang w:val="ro-MD"/>
              </w:rPr>
            </w:pPr>
          </w:p>
          <w:p w14:paraId="59FA95C2" w14:textId="77777777" w:rsidR="00F33839" w:rsidRDefault="00F33839" w:rsidP="00245F6F">
            <w:pPr>
              <w:jc w:val="both"/>
              <w:rPr>
                <w:sz w:val="22"/>
                <w:szCs w:val="22"/>
                <w:highlight w:val="yellow"/>
                <w:lang w:val="ro-MD"/>
              </w:rPr>
            </w:pPr>
          </w:p>
          <w:p w14:paraId="5A399646" w14:textId="77777777" w:rsidR="00F33839" w:rsidRDefault="00F33839" w:rsidP="00E80DB2">
            <w:pPr>
              <w:jc w:val="both"/>
              <w:rPr>
                <w:sz w:val="22"/>
                <w:szCs w:val="22"/>
                <w:highlight w:val="yellow"/>
                <w:lang w:val="ro-MD"/>
              </w:rPr>
            </w:pPr>
          </w:p>
          <w:p w14:paraId="1683A42A" w14:textId="17E5132A" w:rsidR="00F33839" w:rsidRPr="006A5D70" w:rsidRDefault="00F33839" w:rsidP="00575BB2">
            <w:pPr>
              <w:jc w:val="both"/>
              <w:rPr>
                <w:sz w:val="22"/>
                <w:szCs w:val="22"/>
                <w:highlight w:val="yellow"/>
                <w:lang w:val="ro-MD"/>
              </w:rPr>
            </w:pPr>
          </w:p>
        </w:tc>
      </w:tr>
      <w:tr w:rsidR="006A5D70" w:rsidRPr="00EF13E1" w14:paraId="0B2CC413" w14:textId="77777777" w:rsidTr="006A5D70">
        <w:trPr>
          <w:trHeight w:val="70"/>
        </w:trPr>
        <w:tc>
          <w:tcPr>
            <w:tcW w:w="339" w:type="pct"/>
          </w:tcPr>
          <w:p w14:paraId="7238217F" w14:textId="77777777" w:rsidR="006A5D70" w:rsidRDefault="006A5D70" w:rsidP="00BB1A04">
            <w:pPr>
              <w:rPr>
                <w:sz w:val="22"/>
                <w:szCs w:val="22"/>
                <w:lang w:val="ro-RO"/>
              </w:rPr>
            </w:pPr>
            <w:r w:rsidRPr="006A5D70">
              <w:rPr>
                <w:sz w:val="22"/>
                <w:szCs w:val="22"/>
                <w:lang w:val="ro-RO"/>
              </w:rPr>
              <w:t>Pct.</w:t>
            </w:r>
          </w:p>
          <w:p w14:paraId="1BA27290" w14:textId="179ED778" w:rsidR="006A5D70" w:rsidRPr="006A5D70" w:rsidRDefault="006A5D70" w:rsidP="00BB1A04">
            <w:pPr>
              <w:rPr>
                <w:b/>
                <w:sz w:val="22"/>
                <w:szCs w:val="22"/>
                <w:lang w:val="ro-RO"/>
              </w:rPr>
            </w:pPr>
            <w:r w:rsidRPr="006A5D70">
              <w:rPr>
                <w:sz w:val="22"/>
                <w:szCs w:val="22"/>
                <w:lang w:val="ro-RO"/>
              </w:rPr>
              <w:t>433</w:t>
            </w:r>
            <w:r w:rsidRPr="006A5D70">
              <w:rPr>
                <w:sz w:val="22"/>
                <w:szCs w:val="22"/>
                <w:vertAlign w:val="superscript"/>
                <w:lang w:val="ro-RO"/>
              </w:rPr>
              <w:t>2</w:t>
            </w:r>
            <w:r>
              <w:rPr>
                <w:sz w:val="22"/>
                <w:szCs w:val="22"/>
                <w:vertAlign w:val="superscript"/>
                <w:lang w:val="ro-RO"/>
              </w:rPr>
              <w:t>0</w:t>
            </w:r>
          </w:p>
        </w:tc>
        <w:tc>
          <w:tcPr>
            <w:tcW w:w="536" w:type="pct"/>
          </w:tcPr>
          <w:p w14:paraId="4211CB44" w14:textId="77777777" w:rsidR="006A5D70" w:rsidRPr="006A5D70" w:rsidRDefault="006A5D70" w:rsidP="00335651">
            <w:pPr>
              <w:rPr>
                <w:sz w:val="22"/>
                <w:szCs w:val="22"/>
                <w:lang w:val="en-GB"/>
              </w:rPr>
            </w:pPr>
          </w:p>
        </w:tc>
        <w:tc>
          <w:tcPr>
            <w:tcW w:w="1528" w:type="pct"/>
          </w:tcPr>
          <w:p w14:paraId="0B87FB3A" w14:textId="3EC82CED" w:rsidR="00F947EB" w:rsidRPr="00F947EB" w:rsidRDefault="00F947EB" w:rsidP="0080755D">
            <w:pPr>
              <w:jc w:val="both"/>
              <w:rPr>
                <w:sz w:val="22"/>
                <w:szCs w:val="22"/>
                <w:lang w:val="ro-MD"/>
              </w:rPr>
            </w:pPr>
            <w:r w:rsidRPr="00F947EB">
              <w:rPr>
                <w:sz w:val="22"/>
                <w:szCs w:val="22"/>
                <w:lang w:val="ro-MD"/>
              </w:rPr>
              <w:t xml:space="preserve"> OST întreprinde acțiuni de echilibrare prin:</w:t>
            </w:r>
          </w:p>
          <w:p w14:paraId="7ABDA6F3" w14:textId="77777777" w:rsidR="00F947EB" w:rsidRPr="00F947EB" w:rsidRDefault="00F947EB" w:rsidP="008A3E25">
            <w:pPr>
              <w:ind w:firstLine="708"/>
              <w:jc w:val="both"/>
              <w:rPr>
                <w:sz w:val="22"/>
                <w:szCs w:val="22"/>
                <w:lang w:val="ro-MD"/>
              </w:rPr>
            </w:pPr>
            <w:r w:rsidRPr="00F947EB">
              <w:rPr>
                <w:sz w:val="22"/>
                <w:szCs w:val="22"/>
                <w:lang w:val="ro-MD"/>
              </w:rPr>
              <w:t>1) instrucţii operatorilor de sistem cu privire la un anumit flux la punctele comune de interconectare;</w:t>
            </w:r>
          </w:p>
          <w:p w14:paraId="58BAB209" w14:textId="77777777" w:rsidR="00F947EB" w:rsidRPr="00F947EB" w:rsidRDefault="00F947EB" w:rsidP="00C45E6F">
            <w:pPr>
              <w:ind w:firstLine="708"/>
              <w:jc w:val="both"/>
              <w:rPr>
                <w:sz w:val="22"/>
                <w:szCs w:val="22"/>
                <w:lang w:val="ro-MD"/>
              </w:rPr>
            </w:pPr>
            <w:r w:rsidRPr="00F947EB">
              <w:rPr>
                <w:sz w:val="22"/>
                <w:szCs w:val="22"/>
                <w:lang w:val="ro-MD"/>
              </w:rPr>
              <w:t>2) cumpărarea sau vânzarea de Produse standardizate pe termen scurt (PSTS) pe o platformă de tranzacționare; și/sau</w:t>
            </w:r>
          </w:p>
          <w:p w14:paraId="0D4CE38E" w14:textId="77777777" w:rsidR="00F947EB" w:rsidRPr="00F947EB" w:rsidRDefault="00F947EB" w:rsidP="008E0AB4">
            <w:pPr>
              <w:ind w:firstLine="708"/>
              <w:jc w:val="both"/>
              <w:rPr>
                <w:sz w:val="22"/>
                <w:szCs w:val="22"/>
                <w:lang w:val="ro-MD"/>
              </w:rPr>
            </w:pPr>
            <w:r w:rsidRPr="00F947EB">
              <w:rPr>
                <w:sz w:val="22"/>
                <w:szCs w:val="22"/>
                <w:lang w:val="ro-MD"/>
              </w:rPr>
              <w:t>3) utilizarea  serviciilor de echilibrare.</w:t>
            </w:r>
          </w:p>
          <w:p w14:paraId="3FAFB816" w14:textId="77777777" w:rsidR="006A5D70" w:rsidRPr="00F947EB" w:rsidRDefault="006A5D70" w:rsidP="00395552">
            <w:pPr>
              <w:ind w:firstLine="708"/>
              <w:jc w:val="both"/>
              <w:rPr>
                <w:bCs/>
                <w:color w:val="000000"/>
                <w:sz w:val="22"/>
                <w:szCs w:val="22"/>
                <w:lang w:val="ro-MD"/>
              </w:rPr>
            </w:pPr>
          </w:p>
        </w:tc>
        <w:tc>
          <w:tcPr>
            <w:tcW w:w="1537" w:type="pct"/>
          </w:tcPr>
          <w:p w14:paraId="1CC5D2AE" w14:textId="2578E116" w:rsidR="006A5D70" w:rsidRPr="00E0423B" w:rsidRDefault="003C3D04" w:rsidP="00395552">
            <w:pPr>
              <w:jc w:val="both"/>
              <w:rPr>
                <w:b/>
                <w:i/>
                <w:sz w:val="22"/>
                <w:szCs w:val="22"/>
                <w:lang w:val="ro-RO"/>
              </w:rPr>
            </w:pPr>
            <w:r>
              <w:rPr>
                <w:sz w:val="22"/>
                <w:szCs w:val="22"/>
                <w:lang w:val="en-US"/>
              </w:rPr>
              <w:t>Atr</w:t>
            </w:r>
            <w:r w:rsidR="006A5D70" w:rsidRPr="00E0423B">
              <w:rPr>
                <w:sz w:val="22"/>
                <w:szCs w:val="22"/>
                <w:lang w:val="en-US"/>
              </w:rPr>
              <w:t xml:space="preserve">agem atenția că, textul „1) instrucţii operatorilor de sistem cu privire la un anumit flux la punctele comune de interconectare;”, nu este stabilit la art. 6 din Regulamentul (CE) NR. 312/2014. </w:t>
            </w:r>
          </w:p>
          <w:p w14:paraId="5335E94D" w14:textId="1B1C3C88" w:rsidR="006A5D70" w:rsidRPr="006A5D70" w:rsidRDefault="006A5D70" w:rsidP="00EF13E1">
            <w:pPr>
              <w:jc w:val="both"/>
              <w:rPr>
                <w:b/>
                <w:sz w:val="22"/>
                <w:szCs w:val="22"/>
                <w:lang w:val="ro-RO"/>
              </w:rPr>
            </w:pPr>
            <w:r w:rsidRPr="00E0423B">
              <w:rPr>
                <w:b/>
                <w:i/>
                <w:sz w:val="22"/>
                <w:szCs w:val="22"/>
                <w:lang w:val="ro-RO"/>
              </w:rPr>
              <w:tab/>
            </w:r>
          </w:p>
        </w:tc>
        <w:tc>
          <w:tcPr>
            <w:cnfStyle w:val="000100000000" w:firstRow="0" w:lastRow="0" w:firstColumn="0" w:lastColumn="1" w:oddVBand="0" w:evenVBand="0" w:oddHBand="0" w:evenHBand="0" w:firstRowFirstColumn="0" w:firstRowLastColumn="0" w:lastRowFirstColumn="0" w:lastRowLastColumn="0"/>
            <w:tcW w:w="1060" w:type="pct"/>
          </w:tcPr>
          <w:p w14:paraId="5644097C" w14:textId="7624DBA5" w:rsidR="006A5D70" w:rsidRPr="00D03862" w:rsidRDefault="00D03862" w:rsidP="00EF13E1">
            <w:pPr>
              <w:jc w:val="both"/>
              <w:rPr>
                <w:sz w:val="22"/>
                <w:szCs w:val="22"/>
                <w:lang w:val="ro-MD"/>
              </w:rPr>
            </w:pPr>
            <w:r w:rsidRPr="00D03862">
              <w:rPr>
                <w:sz w:val="22"/>
                <w:szCs w:val="22"/>
                <w:lang w:val="ro-MD"/>
              </w:rPr>
              <w:t>Se acceptă</w:t>
            </w:r>
          </w:p>
        </w:tc>
      </w:tr>
      <w:tr w:rsidR="006A5D70" w:rsidRPr="00D03862" w14:paraId="55CA913D" w14:textId="77777777" w:rsidTr="006A5D70">
        <w:trPr>
          <w:trHeight w:val="70"/>
        </w:trPr>
        <w:tc>
          <w:tcPr>
            <w:tcW w:w="339" w:type="pct"/>
          </w:tcPr>
          <w:p w14:paraId="4ECF845B" w14:textId="04737638" w:rsidR="006A5D70" w:rsidRDefault="006A5D70" w:rsidP="00BB1A04">
            <w:pPr>
              <w:rPr>
                <w:sz w:val="22"/>
                <w:szCs w:val="22"/>
                <w:lang w:val="ro-RO"/>
              </w:rPr>
            </w:pPr>
            <w:r w:rsidRPr="006A5D70">
              <w:rPr>
                <w:sz w:val="22"/>
                <w:szCs w:val="22"/>
                <w:lang w:val="ro-RO"/>
              </w:rPr>
              <w:lastRenderedPageBreak/>
              <w:t>Pct</w:t>
            </w:r>
            <w:r>
              <w:rPr>
                <w:sz w:val="22"/>
                <w:szCs w:val="22"/>
                <w:lang w:val="ro-RO"/>
              </w:rPr>
              <w:t>.</w:t>
            </w:r>
          </w:p>
          <w:p w14:paraId="5054F800" w14:textId="1B5C4564" w:rsidR="006A5D70" w:rsidRPr="006A5D70" w:rsidRDefault="006A5D70" w:rsidP="00BB1A04">
            <w:pPr>
              <w:rPr>
                <w:b/>
                <w:sz w:val="22"/>
                <w:szCs w:val="22"/>
                <w:lang w:val="ro-RO"/>
              </w:rPr>
            </w:pPr>
            <w:r w:rsidRPr="006A5D70">
              <w:rPr>
                <w:sz w:val="22"/>
                <w:szCs w:val="22"/>
                <w:lang w:val="ro-RO"/>
              </w:rPr>
              <w:t>433</w:t>
            </w:r>
            <w:r w:rsidRPr="006A5D70">
              <w:rPr>
                <w:sz w:val="22"/>
                <w:szCs w:val="22"/>
                <w:vertAlign w:val="superscript"/>
                <w:lang w:val="ro-RO"/>
              </w:rPr>
              <w:t>2</w:t>
            </w:r>
            <w:r>
              <w:rPr>
                <w:sz w:val="22"/>
                <w:szCs w:val="22"/>
                <w:vertAlign w:val="superscript"/>
                <w:lang w:val="ro-RO"/>
              </w:rPr>
              <w:t>1</w:t>
            </w:r>
          </w:p>
        </w:tc>
        <w:tc>
          <w:tcPr>
            <w:tcW w:w="536" w:type="pct"/>
          </w:tcPr>
          <w:p w14:paraId="66BAECF7" w14:textId="77777777" w:rsidR="006A5D70" w:rsidRPr="006A5D70" w:rsidRDefault="006A5D70" w:rsidP="00335651">
            <w:pPr>
              <w:rPr>
                <w:sz w:val="22"/>
                <w:szCs w:val="22"/>
                <w:lang w:val="en-GB"/>
              </w:rPr>
            </w:pPr>
          </w:p>
        </w:tc>
        <w:tc>
          <w:tcPr>
            <w:tcW w:w="1528" w:type="pct"/>
          </w:tcPr>
          <w:p w14:paraId="2C543D6E" w14:textId="77777777" w:rsidR="00F947EB" w:rsidRPr="00F947EB" w:rsidRDefault="00F947EB" w:rsidP="0080755D">
            <w:pPr>
              <w:jc w:val="both"/>
              <w:rPr>
                <w:sz w:val="22"/>
                <w:szCs w:val="22"/>
                <w:lang w:val="ro-MD"/>
              </w:rPr>
            </w:pPr>
            <w:r w:rsidRPr="00F947EB">
              <w:rPr>
                <w:sz w:val="22"/>
                <w:szCs w:val="22"/>
                <w:lang w:val="ro-MD"/>
              </w:rPr>
              <w:t>În momentul desfășurării de acțiuni de echilibrare, OST trebuie să țină cont de următoarele principii:</w:t>
            </w:r>
          </w:p>
          <w:p w14:paraId="2C21BF2F" w14:textId="487DE86F" w:rsidR="006A5D70" w:rsidRPr="00D03862" w:rsidRDefault="00F947EB" w:rsidP="00D03862">
            <w:pPr>
              <w:ind w:firstLine="708"/>
              <w:jc w:val="both"/>
              <w:rPr>
                <w:sz w:val="22"/>
                <w:szCs w:val="22"/>
                <w:lang w:val="ro-MD"/>
              </w:rPr>
            </w:pPr>
            <w:r w:rsidRPr="00F947EB">
              <w:rPr>
                <w:sz w:val="22"/>
                <w:szCs w:val="22"/>
                <w:lang w:val="ro-MD"/>
              </w:rPr>
              <w:t>2) acțiunile de echilibrare trebuie să țină cont de orice obligație a OST de a opera reţelele de transport al gazelor naturale în</w:t>
            </w:r>
            <w:r w:rsidR="00D03862">
              <w:rPr>
                <w:sz w:val="22"/>
                <w:szCs w:val="22"/>
                <w:lang w:val="ro-MD"/>
              </w:rPr>
              <w:t>tr-un mod economic şi eficient.</w:t>
            </w:r>
          </w:p>
        </w:tc>
        <w:tc>
          <w:tcPr>
            <w:tcW w:w="1537" w:type="pct"/>
          </w:tcPr>
          <w:p w14:paraId="25B046CB" w14:textId="2C875E35" w:rsidR="006A5D70" w:rsidRPr="006A5D70" w:rsidRDefault="006A5D70" w:rsidP="00395552">
            <w:pPr>
              <w:jc w:val="both"/>
              <w:rPr>
                <w:b/>
                <w:sz w:val="22"/>
                <w:szCs w:val="22"/>
                <w:lang w:val="ro-RO"/>
              </w:rPr>
            </w:pPr>
            <w:r w:rsidRPr="00E0423B">
              <w:rPr>
                <w:sz w:val="22"/>
                <w:szCs w:val="22"/>
                <w:lang w:val="en-US"/>
              </w:rPr>
              <w:t>La pct. 433</w:t>
            </w:r>
            <w:r w:rsidRPr="00E0423B">
              <w:rPr>
                <w:sz w:val="22"/>
                <w:szCs w:val="22"/>
                <w:vertAlign w:val="superscript"/>
                <w:lang w:val="en-US"/>
              </w:rPr>
              <w:t>21</w:t>
            </w:r>
            <w:r w:rsidRPr="00E0423B">
              <w:rPr>
                <w:sz w:val="22"/>
                <w:szCs w:val="22"/>
                <w:lang w:val="en-US"/>
              </w:rPr>
              <w:t>, sbp. 2) cuvintele „de a opera reţelele de transport al gazelor naturale într-un mod economic şi eficient” propunem a fi substituite cu cuvintele „de a exploata o rețea de transport rentabilă și eficientă.”</w:t>
            </w:r>
          </w:p>
        </w:tc>
        <w:tc>
          <w:tcPr>
            <w:cnfStyle w:val="000100000000" w:firstRow="0" w:lastRow="0" w:firstColumn="0" w:lastColumn="1" w:oddVBand="0" w:evenVBand="0" w:oddHBand="0" w:evenHBand="0" w:firstRowFirstColumn="0" w:firstRowLastColumn="0" w:lastRowFirstColumn="0" w:lastRowLastColumn="0"/>
            <w:tcW w:w="1060" w:type="pct"/>
          </w:tcPr>
          <w:p w14:paraId="76988F9E" w14:textId="11E44336" w:rsidR="006A5D70" w:rsidRPr="006A5D70" w:rsidRDefault="00D03862" w:rsidP="00395552">
            <w:pPr>
              <w:jc w:val="both"/>
              <w:rPr>
                <w:sz w:val="22"/>
                <w:szCs w:val="22"/>
                <w:highlight w:val="yellow"/>
                <w:lang w:val="ro-MD"/>
              </w:rPr>
            </w:pPr>
            <w:r w:rsidRPr="00D03862">
              <w:rPr>
                <w:sz w:val="22"/>
                <w:szCs w:val="22"/>
                <w:lang w:val="ro-MD"/>
              </w:rPr>
              <w:t>Nu se acceptă</w:t>
            </w:r>
            <w:r>
              <w:rPr>
                <w:sz w:val="22"/>
                <w:szCs w:val="22"/>
                <w:lang w:val="ro-MD"/>
              </w:rPr>
              <w:t xml:space="preserve">, </w:t>
            </w:r>
            <w:r w:rsidRPr="00D03862">
              <w:rPr>
                <w:b w:val="0"/>
                <w:sz w:val="22"/>
                <w:szCs w:val="22"/>
                <w:lang w:val="ro-MD"/>
              </w:rPr>
              <w:t>după context și textul Regulamentului</w:t>
            </w:r>
            <w:r>
              <w:rPr>
                <w:b w:val="0"/>
                <w:sz w:val="22"/>
                <w:szCs w:val="22"/>
                <w:lang w:val="ro-MD"/>
              </w:rPr>
              <w:t xml:space="preserve"> UE</w:t>
            </w:r>
            <w:r w:rsidRPr="00D03862">
              <w:rPr>
                <w:b w:val="0"/>
                <w:sz w:val="22"/>
                <w:szCs w:val="22"/>
                <w:lang w:val="ro-MD"/>
              </w:rPr>
              <w:t xml:space="preserve"> 312/2014. Exploatarea se referă la întreținerea rețelelor</w:t>
            </w:r>
            <w:r>
              <w:rPr>
                <w:b w:val="0"/>
                <w:sz w:val="22"/>
                <w:szCs w:val="22"/>
                <w:lang w:val="ro-MD"/>
              </w:rPr>
              <w:t>.</w:t>
            </w:r>
          </w:p>
        </w:tc>
      </w:tr>
      <w:tr w:rsidR="006A5D70" w:rsidRPr="006A5D70" w14:paraId="3A376832" w14:textId="77777777" w:rsidTr="006A5D70">
        <w:trPr>
          <w:trHeight w:val="70"/>
        </w:trPr>
        <w:tc>
          <w:tcPr>
            <w:tcW w:w="339" w:type="pct"/>
          </w:tcPr>
          <w:p w14:paraId="0BF597CA" w14:textId="77777777" w:rsidR="006A5D70" w:rsidRDefault="006A5D70" w:rsidP="00BB1A04">
            <w:pPr>
              <w:rPr>
                <w:sz w:val="22"/>
                <w:szCs w:val="22"/>
                <w:lang w:val="ro-RO"/>
              </w:rPr>
            </w:pPr>
            <w:r w:rsidRPr="006A5D70">
              <w:rPr>
                <w:sz w:val="22"/>
                <w:szCs w:val="22"/>
                <w:lang w:val="ro-RO"/>
              </w:rPr>
              <w:t>Pct.</w:t>
            </w:r>
          </w:p>
          <w:p w14:paraId="7C8B200A" w14:textId="51FD8C06" w:rsidR="006A5D70" w:rsidRPr="006A5D70" w:rsidRDefault="006A5D70" w:rsidP="00BB1A04">
            <w:pPr>
              <w:rPr>
                <w:b/>
                <w:sz w:val="22"/>
                <w:szCs w:val="22"/>
                <w:vertAlign w:val="superscript"/>
                <w:lang w:val="ro-RO"/>
              </w:rPr>
            </w:pPr>
            <w:r w:rsidRPr="006A5D70">
              <w:rPr>
                <w:sz w:val="22"/>
                <w:szCs w:val="22"/>
                <w:lang w:val="ro-RO"/>
              </w:rPr>
              <w:t>433</w:t>
            </w:r>
            <w:r>
              <w:rPr>
                <w:sz w:val="22"/>
                <w:szCs w:val="22"/>
                <w:vertAlign w:val="superscript"/>
                <w:lang w:val="ro-RO"/>
              </w:rPr>
              <w:t>26</w:t>
            </w:r>
          </w:p>
        </w:tc>
        <w:tc>
          <w:tcPr>
            <w:tcW w:w="536" w:type="pct"/>
          </w:tcPr>
          <w:p w14:paraId="0059114E" w14:textId="77777777" w:rsidR="006A5D70" w:rsidRPr="006A5D70" w:rsidRDefault="006A5D70" w:rsidP="00335651">
            <w:pPr>
              <w:rPr>
                <w:sz w:val="22"/>
                <w:szCs w:val="22"/>
                <w:lang w:val="en-GB"/>
              </w:rPr>
            </w:pPr>
          </w:p>
        </w:tc>
        <w:tc>
          <w:tcPr>
            <w:tcW w:w="1528" w:type="pct"/>
          </w:tcPr>
          <w:p w14:paraId="6F3D22F9" w14:textId="77777777" w:rsidR="003C3D04" w:rsidRPr="003C3D04" w:rsidRDefault="003C3D04" w:rsidP="0080755D">
            <w:pPr>
              <w:jc w:val="both"/>
              <w:rPr>
                <w:sz w:val="22"/>
                <w:szCs w:val="22"/>
                <w:lang w:val="ro-MD"/>
              </w:rPr>
            </w:pPr>
            <w:r w:rsidRPr="003C3D04">
              <w:rPr>
                <w:sz w:val="22"/>
                <w:szCs w:val="22"/>
                <w:lang w:val="ro-MD"/>
              </w:rPr>
              <w:t>În cazul în care se comercializează un produs temporar:</w:t>
            </w:r>
          </w:p>
          <w:p w14:paraId="1773A006" w14:textId="77777777" w:rsidR="003C3D04" w:rsidRPr="003C3D04" w:rsidRDefault="003C3D04" w:rsidP="008A3E25">
            <w:pPr>
              <w:ind w:firstLine="708"/>
              <w:jc w:val="both"/>
              <w:rPr>
                <w:sz w:val="22"/>
                <w:szCs w:val="22"/>
                <w:lang w:val="ro-MD"/>
              </w:rPr>
            </w:pPr>
            <w:r w:rsidRPr="003C3D04">
              <w:rPr>
                <w:sz w:val="22"/>
                <w:szCs w:val="22"/>
                <w:lang w:val="ro-MD"/>
              </w:rPr>
              <w:t>1) condițiile menționate la pct. 433</w:t>
            </w:r>
            <w:r w:rsidRPr="003C3D04">
              <w:rPr>
                <w:sz w:val="22"/>
                <w:szCs w:val="22"/>
                <w:vertAlign w:val="superscript"/>
                <w:lang w:val="ro-MD"/>
              </w:rPr>
              <w:t>24</w:t>
            </w:r>
            <w:r w:rsidRPr="003C3D04">
              <w:rPr>
                <w:sz w:val="22"/>
                <w:szCs w:val="22"/>
                <w:lang w:val="ro-MD"/>
              </w:rPr>
              <w:t xml:space="preserve"> subpunctele 1) și 2) sunt îndeplinite;</w:t>
            </w:r>
          </w:p>
          <w:p w14:paraId="73F97F93" w14:textId="3722B7AD" w:rsidR="006A5D70" w:rsidRPr="00FB2036" w:rsidRDefault="003C3D04" w:rsidP="00FB2036">
            <w:pPr>
              <w:ind w:firstLine="708"/>
              <w:jc w:val="both"/>
              <w:rPr>
                <w:sz w:val="22"/>
                <w:szCs w:val="22"/>
                <w:lang w:val="ro-MD"/>
              </w:rPr>
            </w:pPr>
            <w:r w:rsidRPr="003C3D04">
              <w:rPr>
                <w:sz w:val="22"/>
                <w:szCs w:val="22"/>
                <w:lang w:val="ro-MD"/>
              </w:rPr>
              <w:t>2) se aplică o cantitate notificată orară în cazul orelor din ziua gazieră de la un anumit moment de începere până la un anumit moment de încheiere și este egal cu zero pentru toate orele de dinaintea momentului de începere și zero pentru toate orele</w:t>
            </w:r>
            <w:r w:rsidR="00FB2036">
              <w:rPr>
                <w:sz w:val="22"/>
                <w:szCs w:val="22"/>
                <w:lang w:val="ro-MD"/>
              </w:rPr>
              <w:t xml:space="preserve"> de după momentul de încheiere.</w:t>
            </w:r>
          </w:p>
        </w:tc>
        <w:tc>
          <w:tcPr>
            <w:tcW w:w="1537" w:type="pct"/>
          </w:tcPr>
          <w:p w14:paraId="45A02AFB" w14:textId="6F0A78DB" w:rsidR="006A5D70" w:rsidRPr="006A5D70" w:rsidRDefault="003C3D04" w:rsidP="00395552">
            <w:pPr>
              <w:jc w:val="both"/>
              <w:rPr>
                <w:b/>
                <w:sz w:val="22"/>
                <w:szCs w:val="22"/>
                <w:lang w:val="ro-RO"/>
              </w:rPr>
            </w:pPr>
            <w:r>
              <w:rPr>
                <w:sz w:val="22"/>
                <w:szCs w:val="22"/>
                <w:lang w:val="en-US"/>
              </w:rPr>
              <w:t>C</w:t>
            </w:r>
            <w:r w:rsidR="006A5D70" w:rsidRPr="00E0423B">
              <w:rPr>
                <w:sz w:val="22"/>
                <w:szCs w:val="22"/>
                <w:lang w:val="en-US"/>
              </w:rPr>
              <w:t>uvintele „produs temporar” se vor substitui cu cuvintele „produs temporal”, conform celor definite în Regulamentul (CE) NR. 312/2014.</w:t>
            </w:r>
          </w:p>
        </w:tc>
        <w:tc>
          <w:tcPr>
            <w:cnfStyle w:val="000100000000" w:firstRow="0" w:lastRow="0" w:firstColumn="0" w:lastColumn="1" w:oddVBand="0" w:evenVBand="0" w:oddHBand="0" w:evenHBand="0" w:firstRowFirstColumn="0" w:firstRowLastColumn="0" w:lastRowFirstColumn="0" w:lastRowLastColumn="0"/>
            <w:tcW w:w="1060" w:type="pct"/>
          </w:tcPr>
          <w:p w14:paraId="2C9DBBB9" w14:textId="5C52AFAB" w:rsidR="006A5D70" w:rsidRPr="00D03862" w:rsidRDefault="007B5013" w:rsidP="00395552">
            <w:pPr>
              <w:jc w:val="both"/>
              <w:rPr>
                <w:sz w:val="22"/>
                <w:szCs w:val="22"/>
                <w:lang w:val="ro-MD"/>
              </w:rPr>
            </w:pPr>
            <w:r w:rsidRPr="00D03862">
              <w:rPr>
                <w:sz w:val="22"/>
                <w:szCs w:val="22"/>
                <w:lang w:val="ro-MD"/>
              </w:rPr>
              <w:t>Se acceptă</w:t>
            </w:r>
          </w:p>
        </w:tc>
      </w:tr>
      <w:tr w:rsidR="006A5D70" w:rsidRPr="006A5D70" w14:paraId="4069013B" w14:textId="77777777" w:rsidTr="006A5D70">
        <w:trPr>
          <w:trHeight w:val="70"/>
        </w:trPr>
        <w:tc>
          <w:tcPr>
            <w:tcW w:w="339" w:type="pct"/>
          </w:tcPr>
          <w:p w14:paraId="40FF9571" w14:textId="77777777" w:rsidR="006A5D70" w:rsidRDefault="006A5D70" w:rsidP="00BB1A04">
            <w:pPr>
              <w:rPr>
                <w:sz w:val="22"/>
                <w:szCs w:val="22"/>
                <w:lang w:val="ro-RO"/>
              </w:rPr>
            </w:pPr>
            <w:r w:rsidRPr="006A5D70">
              <w:rPr>
                <w:sz w:val="22"/>
                <w:szCs w:val="22"/>
                <w:lang w:val="ro-RO"/>
              </w:rPr>
              <w:t>Pct.</w:t>
            </w:r>
          </w:p>
          <w:p w14:paraId="4FB86C51" w14:textId="729D41FA" w:rsidR="006A5D70" w:rsidRPr="006A5D70" w:rsidRDefault="006A5D70" w:rsidP="00BB1A04">
            <w:pPr>
              <w:rPr>
                <w:b/>
                <w:sz w:val="22"/>
                <w:szCs w:val="22"/>
                <w:lang w:val="ro-RO"/>
              </w:rPr>
            </w:pPr>
            <w:r>
              <w:rPr>
                <w:sz w:val="22"/>
                <w:szCs w:val="22"/>
                <w:lang w:val="ro-RO"/>
              </w:rPr>
              <w:t>43</w:t>
            </w:r>
            <w:r w:rsidR="007B5013">
              <w:rPr>
                <w:sz w:val="22"/>
                <w:szCs w:val="22"/>
                <w:lang w:val="ro-RO"/>
              </w:rPr>
              <w:t>3</w:t>
            </w:r>
            <w:r w:rsidRPr="006A5D70">
              <w:rPr>
                <w:sz w:val="22"/>
                <w:szCs w:val="22"/>
                <w:vertAlign w:val="superscript"/>
                <w:lang w:val="ro-RO"/>
              </w:rPr>
              <w:t>2</w:t>
            </w:r>
            <w:r>
              <w:rPr>
                <w:sz w:val="22"/>
                <w:szCs w:val="22"/>
                <w:vertAlign w:val="superscript"/>
                <w:lang w:val="ro-RO"/>
              </w:rPr>
              <w:t>7</w:t>
            </w:r>
          </w:p>
        </w:tc>
        <w:tc>
          <w:tcPr>
            <w:tcW w:w="536" w:type="pct"/>
          </w:tcPr>
          <w:p w14:paraId="71203F25" w14:textId="77777777" w:rsidR="006A5D70" w:rsidRPr="006A5D70" w:rsidRDefault="006A5D70" w:rsidP="00335651">
            <w:pPr>
              <w:rPr>
                <w:sz w:val="22"/>
                <w:szCs w:val="22"/>
                <w:lang w:val="en-GB"/>
              </w:rPr>
            </w:pPr>
          </w:p>
        </w:tc>
        <w:tc>
          <w:tcPr>
            <w:tcW w:w="1528" w:type="pct"/>
          </w:tcPr>
          <w:p w14:paraId="7D235D2F" w14:textId="7668C7AE" w:rsidR="006A5D70" w:rsidRPr="00FB2036" w:rsidRDefault="003C3D04" w:rsidP="00FB2036">
            <w:pPr>
              <w:jc w:val="both"/>
              <w:rPr>
                <w:sz w:val="22"/>
                <w:szCs w:val="22"/>
                <w:lang w:val="ro-MD"/>
              </w:rPr>
            </w:pPr>
            <w:r w:rsidRPr="003C3D04">
              <w:rPr>
                <w:sz w:val="22"/>
                <w:szCs w:val="22"/>
                <w:lang w:val="ro-MD"/>
              </w:rPr>
              <w:t>În cazul comercializării unui produs de localizare temporar, trebuie îndeplinite condițiile menționate la pct. 433</w:t>
            </w:r>
            <w:r w:rsidRPr="003C3D04">
              <w:rPr>
                <w:sz w:val="22"/>
                <w:szCs w:val="22"/>
                <w:vertAlign w:val="superscript"/>
                <w:lang w:val="ro-MD"/>
              </w:rPr>
              <w:t xml:space="preserve">25 </w:t>
            </w:r>
            <w:r w:rsidRPr="003C3D04">
              <w:rPr>
                <w:sz w:val="22"/>
                <w:szCs w:val="22"/>
                <w:lang w:val="ro-MD"/>
              </w:rPr>
              <w:t>subpunctele 1) și 3) și la pct. 433</w:t>
            </w:r>
            <w:r w:rsidRPr="003C3D04">
              <w:rPr>
                <w:sz w:val="22"/>
                <w:szCs w:val="22"/>
                <w:vertAlign w:val="superscript"/>
                <w:lang w:val="ro-MD"/>
              </w:rPr>
              <w:t>26</w:t>
            </w:r>
            <w:r w:rsidR="00FB2036">
              <w:rPr>
                <w:sz w:val="22"/>
                <w:szCs w:val="22"/>
                <w:lang w:val="ro-MD"/>
              </w:rPr>
              <w:t>.</w:t>
            </w:r>
          </w:p>
        </w:tc>
        <w:tc>
          <w:tcPr>
            <w:tcW w:w="1537" w:type="pct"/>
          </w:tcPr>
          <w:p w14:paraId="50BABFE5" w14:textId="0C943E5D" w:rsidR="006A5D70" w:rsidRPr="00FB2036" w:rsidRDefault="003C3D04" w:rsidP="008E0AB4">
            <w:pPr>
              <w:jc w:val="both"/>
              <w:rPr>
                <w:b/>
                <w:i/>
                <w:sz w:val="22"/>
                <w:szCs w:val="22"/>
                <w:lang w:val="ro-RO"/>
              </w:rPr>
            </w:pPr>
            <w:r>
              <w:rPr>
                <w:sz w:val="22"/>
                <w:szCs w:val="22"/>
                <w:lang w:val="en-US"/>
              </w:rPr>
              <w:t>C</w:t>
            </w:r>
            <w:r w:rsidR="006A5D70" w:rsidRPr="00E0423B">
              <w:rPr>
                <w:sz w:val="22"/>
                <w:szCs w:val="22"/>
                <w:lang w:val="en-US"/>
              </w:rPr>
              <w:t>uvintele „</w:t>
            </w:r>
            <w:r w:rsidR="00E92B51">
              <w:rPr>
                <w:sz w:val="22"/>
                <w:szCs w:val="22"/>
                <w:lang w:val="en-US"/>
              </w:rPr>
              <w:t xml:space="preserve">produs de localizare temporar” de </w:t>
            </w:r>
            <w:r w:rsidR="006A5D70" w:rsidRPr="00E0423B">
              <w:rPr>
                <w:sz w:val="22"/>
                <w:szCs w:val="22"/>
                <w:lang w:val="en-US"/>
              </w:rPr>
              <w:t>substitui</w:t>
            </w:r>
            <w:r w:rsidR="00E92B51">
              <w:rPr>
                <w:sz w:val="22"/>
                <w:szCs w:val="22"/>
                <w:lang w:val="en-US"/>
              </w:rPr>
              <w:t>t</w:t>
            </w:r>
            <w:r w:rsidR="006A5D70" w:rsidRPr="00E0423B">
              <w:rPr>
                <w:sz w:val="22"/>
                <w:szCs w:val="22"/>
                <w:lang w:val="en-US"/>
              </w:rPr>
              <w:t xml:space="preserve"> cu cuvintele „produs localizat temporal” conform celor definite în Regulamentul (CE) NR. 312/2014. </w:t>
            </w:r>
            <w:r w:rsidR="006A5D70" w:rsidRPr="00E0423B">
              <w:rPr>
                <w:b/>
                <w:i/>
                <w:sz w:val="22"/>
                <w:szCs w:val="22"/>
                <w:lang w:val="ro-RO"/>
              </w:rPr>
              <w:tab/>
            </w:r>
          </w:p>
        </w:tc>
        <w:tc>
          <w:tcPr>
            <w:cnfStyle w:val="000100000000" w:firstRow="0" w:lastRow="0" w:firstColumn="0" w:lastColumn="1" w:oddVBand="0" w:evenVBand="0" w:oddHBand="0" w:evenHBand="0" w:firstRowFirstColumn="0" w:firstRowLastColumn="0" w:lastRowFirstColumn="0" w:lastRowLastColumn="0"/>
            <w:tcW w:w="1060" w:type="pct"/>
          </w:tcPr>
          <w:p w14:paraId="27609CB8" w14:textId="3BDCDE3A" w:rsidR="006A5D70" w:rsidRPr="00D03862" w:rsidRDefault="007B5013" w:rsidP="00395552">
            <w:pPr>
              <w:jc w:val="both"/>
              <w:rPr>
                <w:sz w:val="22"/>
                <w:szCs w:val="22"/>
                <w:lang w:val="ro-MD"/>
              </w:rPr>
            </w:pPr>
            <w:r w:rsidRPr="00D03862">
              <w:rPr>
                <w:sz w:val="22"/>
                <w:szCs w:val="22"/>
                <w:lang w:val="ro-MD"/>
              </w:rPr>
              <w:t>Se acceptă</w:t>
            </w:r>
          </w:p>
        </w:tc>
      </w:tr>
      <w:tr w:rsidR="006A5D70" w:rsidRPr="006A5D70" w14:paraId="7F481896" w14:textId="77777777" w:rsidTr="006A5D70">
        <w:trPr>
          <w:trHeight w:val="70"/>
        </w:trPr>
        <w:tc>
          <w:tcPr>
            <w:tcW w:w="339" w:type="pct"/>
          </w:tcPr>
          <w:p w14:paraId="5E3AF5A4" w14:textId="77777777" w:rsidR="006A5D70" w:rsidRDefault="006A5D70" w:rsidP="00BB1A04">
            <w:pPr>
              <w:rPr>
                <w:sz w:val="22"/>
                <w:szCs w:val="22"/>
                <w:lang w:val="ro-RO"/>
              </w:rPr>
            </w:pPr>
            <w:r w:rsidRPr="006A5D70">
              <w:rPr>
                <w:sz w:val="22"/>
                <w:szCs w:val="22"/>
                <w:lang w:val="ro-RO"/>
              </w:rPr>
              <w:t>Pct.</w:t>
            </w:r>
          </w:p>
          <w:p w14:paraId="78E31883" w14:textId="62D97323" w:rsidR="006A5D70" w:rsidRPr="006A5D70" w:rsidRDefault="006A5D70" w:rsidP="00BB1A04">
            <w:pPr>
              <w:rPr>
                <w:b/>
                <w:sz w:val="22"/>
                <w:szCs w:val="22"/>
                <w:lang w:val="ro-RO"/>
              </w:rPr>
            </w:pPr>
            <w:r w:rsidRPr="006A5D70">
              <w:rPr>
                <w:sz w:val="22"/>
                <w:szCs w:val="22"/>
                <w:lang w:val="ro-RO"/>
              </w:rPr>
              <w:t>433</w:t>
            </w:r>
            <w:r>
              <w:rPr>
                <w:sz w:val="22"/>
                <w:szCs w:val="22"/>
                <w:vertAlign w:val="superscript"/>
                <w:lang w:val="ro-RO"/>
              </w:rPr>
              <w:t>30</w:t>
            </w:r>
          </w:p>
        </w:tc>
        <w:tc>
          <w:tcPr>
            <w:tcW w:w="536" w:type="pct"/>
          </w:tcPr>
          <w:p w14:paraId="3B305825" w14:textId="77777777" w:rsidR="006A5D70" w:rsidRPr="006A5D70" w:rsidRDefault="006A5D70" w:rsidP="00335651">
            <w:pPr>
              <w:rPr>
                <w:sz w:val="22"/>
                <w:szCs w:val="22"/>
                <w:lang w:val="en-GB"/>
              </w:rPr>
            </w:pPr>
          </w:p>
        </w:tc>
        <w:tc>
          <w:tcPr>
            <w:tcW w:w="1528" w:type="pct"/>
          </w:tcPr>
          <w:p w14:paraId="2DFD4406" w14:textId="77777777" w:rsidR="003C3D04" w:rsidRPr="003C3D04" w:rsidRDefault="003C3D04" w:rsidP="0080755D">
            <w:pPr>
              <w:jc w:val="both"/>
              <w:rPr>
                <w:sz w:val="22"/>
                <w:szCs w:val="22"/>
                <w:lang w:val="ro-MD"/>
              </w:rPr>
            </w:pPr>
            <w:r w:rsidRPr="003C3D04">
              <w:rPr>
                <w:sz w:val="22"/>
                <w:szCs w:val="22"/>
                <w:lang w:val="ro-MD"/>
              </w:rPr>
              <w:t>În scopul îndeplinirii</w:t>
            </w:r>
            <w:r w:rsidRPr="003C3D04" w:rsidDel="00A060FB">
              <w:rPr>
                <w:sz w:val="22"/>
                <w:szCs w:val="22"/>
                <w:lang w:val="ro-MD"/>
              </w:rPr>
              <w:t xml:space="preserve"> </w:t>
            </w:r>
            <w:r w:rsidRPr="003C3D04">
              <w:rPr>
                <w:sz w:val="22"/>
                <w:szCs w:val="22"/>
                <w:lang w:val="ro-MD"/>
              </w:rPr>
              <w:t>acțiunilor de echilibrare prin utilizarea serviciilor de echilibrare, când achiziționează astfel de servicii de echilibrare, OST ia în considerație următoarele:</w:t>
            </w:r>
          </w:p>
          <w:p w14:paraId="682772E5" w14:textId="77777777" w:rsidR="003C3D04" w:rsidRPr="003C3D04" w:rsidRDefault="003C3D04" w:rsidP="008A3E25">
            <w:pPr>
              <w:ind w:firstLine="708"/>
              <w:jc w:val="both"/>
              <w:rPr>
                <w:sz w:val="22"/>
                <w:szCs w:val="22"/>
                <w:lang w:val="ro-MD"/>
              </w:rPr>
            </w:pPr>
            <w:r w:rsidRPr="003C3D04">
              <w:rPr>
                <w:sz w:val="22"/>
                <w:szCs w:val="22"/>
                <w:lang w:val="ro-MD"/>
              </w:rPr>
              <w:t>1) modul în care serviciile de echilibrare vor menține rețeaua de transport al gazelor naturale în limitele sale operaționale;</w:t>
            </w:r>
          </w:p>
          <w:p w14:paraId="48B25556" w14:textId="38756294" w:rsidR="006A5D70" w:rsidRPr="00FB2036" w:rsidRDefault="003C3D04" w:rsidP="00FB2036">
            <w:pPr>
              <w:ind w:firstLine="708"/>
              <w:jc w:val="both"/>
              <w:rPr>
                <w:sz w:val="22"/>
                <w:szCs w:val="22"/>
                <w:lang w:val="ro-MD"/>
              </w:rPr>
            </w:pPr>
            <w:r w:rsidRPr="003C3D04">
              <w:rPr>
                <w:sz w:val="22"/>
                <w:szCs w:val="22"/>
                <w:lang w:val="ro-MD"/>
              </w:rPr>
              <w:t>2) rapiditatea furnizării serviciilor de echilibrare în comparație cu viteza de furniza</w:t>
            </w:r>
            <w:r w:rsidR="00FB2036">
              <w:rPr>
                <w:sz w:val="22"/>
                <w:szCs w:val="22"/>
                <w:lang w:val="ro-MD"/>
              </w:rPr>
              <w:t>re a oricăror PSTS disponibile;</w:t>
            </w:r>
          </w:p>
        </w:tc>
        <w:tc>
          <w:tcPr>
            <w:tcW w:w="1537" w:type="pct"/>
          </w:tcPr>
          <w:p w14:paraId="7C80B289" w14:textId="5E16ECA1" w:rsidR="006A5D70" w:rsidRPr="006A5D70" w:rsidRDefault="003C3D04" w:rsidP="00395552">
            <w:pPr>
              <w:jc w:val="both"/>
              <w:rPr>
                <w:b/>
                <w:sz w:val="22"/>
                <w:szCs w:val="22"/>
                <w:lang w:val="ro-RO"/>
              </w:rPr>
            </w:pPr>
            <w:r>
              <w:rPr>
                <w:sz w:val="22"/>
                <w:szCs w:val="22"/>
                <w:lang w:val="ro-RO"/>
              </w:rPr>
              <w:t>S</w:t>
            </w:r>
            <w:r w:rsidR="00E92B51">
              <w:rPr>
                <w:sz w:val="22"/>
                <w:szCs w:val="22"/>
                <w:lang w:val="ro-RO"/>
              </w:rPr>
              <w:t>bp. 2) de</w:t>
            </w:r>
            <w:r w:rsidR="006A5D70" w:rsidRPr="00E0423B">
              <w:rPr>
                <w:sz w:val="22"/>
                <w:szCs w:val="22"/>
                <w:lang w:val="ro-RO"/>
              </w:rPr>
              <w:t xml:space="preserve"> expu</w:t>
            </w:r>
            <w:r w:rsidR="00E92B51">
              <w:rPr>
                <w:sz w:val="22"/>
                <w:szCs w:val="22"/>
                <w:lang w:val="ro-RO"/>
              </w:rPr>
              <w:t>s</w:t>
            </w:r>
            <w:r w:rsidR="006A5D70" w:rsidRPr="00E0423B">
              <w:rPr>
                <w:sz w:val="22"/>
                <w:szCs w:val="22"/>
                <w:lang w:val="ro-RO"/>
              </w:rPr>
              <w:t xml:space="preserve"> în următoarea redacție: „2) timpul de răspuns al serviciilor de echilibrare în comparație cu timpii de răspuns specifici pentru orice produse standardizate pe termen scurt disponibile;” așa cum este prevăzut la art. 8, alin. </w:t>
            </w:r>
            <w:r w:rsidR="006A5D70" w:rsidRPr="00E0423B">
              <w:rPr>
                <w:sz w:val="22"/>
                <w:szCs w:val="22"/>
                <w:lang w:val="en-US"/>
              </w:rPr>
              <w:t>(2) lit. b) din Regulamentul (CE) NR. 312/2014.</w:t>
            </w:r>
          </w:p>
        </w:tc>
        <w:tc>
          <w:tcPr>
            <w:cnfStyle w:val="000100000000" w:firstRow="0" w:lastRow="0" w:firstColumn="0" w:lastColumn="1" w:oddVBand="0" w:evenVBand="0" w:oddHBand="0" w:evenHBand="0" w:firstRowFirstColumn="0" w:firstRowLastColumn="0" w:lastRowFirstColumn="0" w:lastRowLastColumn="0"/>
            <w:tcW w:w="1060" w:type="pct"/>
          </w:tcPr>
          <w:p w14:paraId="704E19FE" w14:textId="1D8D7E04" w:rsidR="006A5D70" w:rsidRPr="006A5D70" w:rsidRDefault="00245F6F" w:rsidP="00395552">
            <w:pPr>
              <w:jc w:val="both"/>
              <w:rPr>
                <w:sz w:val="22"/>
                <w:szCs w:val="22"/>
                <w:highlight w:val="yellow"/>
                <w:lang w:val="ro-MD"/>
              </w:rPr>
            </w:pPr>
            <w:r w:rsidRPr="00D03862">
              <w:rPr>
                <w:sz w:val="22"/>
                <w:szCs w:val="22"/>
                <w:lang w:val="ro-MD"/>
              </w:rPr>
              <w:t>Se acceptă</w:t>
            </w:r>
          </w:p>
        </w:tc>
      </w:tr>
      <w:tr w:rsidR="006A5D70" w:rsidRPr="006A5D70" w14:paraId="536EB1FB" w14:textId="77777777" w:rsidTr="006A5D70">
        <w:trPr>
          <w:trHeight w:val="70"/>
        </w:trPr>
        <w:tc>
          <w:tcPr>
            <w:tcW w:w="339" w:type="pct"/>
          </w:tcPr>
          <w:p w14:paraId="1E563065" w14:textId="77777777" w:rsidR="006A5D70" w:rsidRDefault="006A5D70" w:rsidP="00BB1A04">
            <w:pPr>
              <w:rPr>
                <w:sz w:val="22"/>
                <w:szCs w:val="22"/>
                <w:lang w:val="ro-RO"/>
              </w:rPr>
            </w:pPr>
            <w:r w:rsidRPr="006A5D70">
              <w:rPr>
                <w:sz w:val="22"/>
                <w:szCs w:val="22"/>
                <w:lang w:val="ro-RO"/>
              </w:rPr>
              <w:t>Pct.</w:t>
            </w:r>
          </w:p>
          <w:p w14:paraId="53E5DA34" w14:textId="2B462362" w:rsidR="006A5D70" w:rsidRPr="006A5D70" w:rsidRDefault="006A5D70" w:rsidP="00BB1A04">
            <w:pPr>
              <w:rPr>
                <w:b/>
                <w:sz w:val="22"/>
                <w:szCs w:val="22"/>
                <w:lang w:val="ro-RO"/>
              </w:rPr>
            </w:pPr>
            <w:r w:rsidRPr="006A5D70">
              <w:rPr>
                <w:sz w:val="22"/>
                <w:szCs w:val="22"/>
                <w:lang w:val="ro-RO"/>
              </w:rPr>
              <w:t>433</w:t>
            </w:r>
            <w:r>
              <w:rPr>
                <w:sz w:val="22"/>
                <w:szCs w:val="22"/>
                <w:vertAlign w:val="superscript"/>
                <w:lang w:val="ro-RO"/>
              </w:rPr>
              <w:t>31</w:t>
            </w:r>
          </w:p>
        </w:tc>
        <w:tc>
          <w:tcPr>
            <w:tcW w:w="536" w:type="pct"/>
          </w:tcPr>
          <w:p w14:paraId="33F0DB87" w14:textId="77777777" w:rsidR="006A5D70" w:rsidRPr="006A5D70" w:rsidRDefault="006A5D70" w:rsidP="00335651">
            <w:pPr>
              <w:rPr>
                <w:sz w:val="22"/>
                <w:szCs w:val="22"/>
                <w:lang w:val="en-GB"/>
              </w:rPr>
            </w:pPr>
          </w:p>
        </w:tc>
        <w:tc>
          <w:tcPr>
            <w:tcW w:w="1528" w:type="pct"/>
          </w:tcPr>
          <w:p w14:paraId="3A228D54" w14:textId="519C943D" w:rsidR="006A5D70" w:rsidRPr="00FB2036" w:rsidRDefault="003C3D04" w:rsidP="00FB2036">
            <w:pPr>
              <w:rPr>
                <w:sz w:val="22"/>
                <w:szCs w:val="22"/>
                <w:lang w:val="ro-MD"/>
              </w:rPr>
            </w:pPr>
            <w:r w:rsidRPr="003C3D04">
              <w:rPr>
                <w:sz w:val="22"/>
                <w:szCs w:val="22"/>
                <w:lang w:val="ro-MD"/>
              </w:rPr>
              <w:t>Serviciile de echilibrare sunt achiziționate într-un mod bazat pe piață, prin intermediul unei proceduri de licitație publică, transparentă și nediscriminatorie, în conformitate cu normele na</w:t>
            </w:r>
            <w:r w:rsidR="00FB2036">
              <w:rPr>
                <w:sz w:val="22"/>
                <w:szCs w:val="22"/>
                <w:lang w:val="ro-MD"/>
              </w:rPr>
              <w:t>ționale aplicabile, în special:</w:t>
            </w:r>
          </w:p>
        </w:tc>
        <w:tc>
          <w:tcPr>
            <w:tcW w:w="1537" w:type="pct"/>
          </w:tcPr>
          <w:p w14:paraId="4869C2F4" w14:textId="0FD2DB40" w:rsidR="006A5D70" w:rsidRPr="00E0423B" w:rsidRDefault="003C3D04" w:rsidP="00395552">
            <w:pPr>
              <w:jc w:val="both"/>
              <w:rPr>
                <w:b/>
                <w:i/>
                <w:sz w:val="22"/>
                <w:szCs w:val="22"/>
                <w:lang w:val="ro-RO"/>
              </w:rPr>
            </w:pPr>
            <w:r>
              <w:rPr>
                <w:sz w:val="22"/>
                <w:szCs w:val="22"/>
                <w:lang w:val="en-US"/>
              </w:rPr>
              <w:t xml:space="preserve"> De</w:t>
            </w:r>
            <w:r w:rsidR="006A5D70" w:rsidRPr="00E0423B">
              <w:rPr>
                <w:sz w:val="22"/>
                <w:szCs w:val="22"/>
                <w:lang w:val="en-US"/>
              </w:rPr>
              <w:t xml:space="preserve"> </w:t>
            </w:r>
            <w:r w:rsidR="00E92B51">
              <w:rPr>
                <w:sz w:val="22"/>
                <w:szCs w:val="22"/>
                <w:lang w:val="en-US"/>
              </w:rPr>
              <w:t>făcut</w:t>
            </w:r>
            <w:r w:rsidR="006A5D70" w:rsidRPr="00E0423B">
              <w:rPr>
                <w:sz w:val="22"/>
                <w:szCs w:val="22"/>
                <w:lang w:val="en-US"/>
              </w:rPr>
              <w:t xml:space="preserve"> trimitere la reglementările naționale ce vizează procedurile de licitație publică prin intermediul cărora urmează a fi achiziționate serviciile de echilibrare.</w:t>
            </w:r>
          </w:p>
          <w:p w14:paraId="5A94ADB3" w14:textId="058327F9" w:rsidR="006A5D70" w:rsidRPr="006A5D70" w:rsidRDefault="006A5D70" w:rsidP="00395552">
            <w:pPr>
              <w:jc w:val="both"/>
              <w:rPr>
                <w:b/>
                <w:sz w:val="22"/>
                <w:szCs w:val="22"/>
                <w:lang w:val="ro-RO"/>
              </w:rPr>
            </w:pPr>
            <w:r w:rsidRPr="00E0423B">
              <w:rPr>
                <w:b/>
                <w:i/>
                <w:sz w:val="22"/>
                <w:szCs w:val="22"/>
                <w:lang w:val="ro-RO"/>
              </w:rPr>
              <w:tab/>
            </w:r>
          </w:p>
        </w:tc>
        <w:tc>
          <w:tcPr>
            <w:cnfStyle w:val="000100000000" w:firstRow="0" w:lastRow="0" w:firstColumn="0" w:lastColumn="1" w:oddVBand="0" w:evenVBand="0" w:oddHBand="0" w:evenHBand="0" w:firstRowFirstColumn="0" w:firstRowLastColumn="0" w:lastRowFirstColumn="0" w:lastRowLastColumn="0"/>
            <w:tcW w:w="1060" w:type="pct"/>
          </w:tcPr>
          <w:p w14:paraId="14D8923C" w14:textId="6B123008" w:rsidR="006A5D70" w:rsidRPr="006A5D70" w:rsidRDefault="00245F6F" w:rsidP="00EF13E1">
            <w:pPr>
              <w:jc w:val="both"/>
              <w:rPr>
                <w:sz w:val="22"/>
                <w:szCs w:val="22"/>
                <w:highlight w:val="yellow"/>
                <w:lang w:val="ro-MD"/>
              </w:rPr>
            </w:pPr>
            <w:r w:rsidRPr="00D03862">
              <w:rPr>
                <w:sz w:val="22"/>
                <w:szCs w:val="22"/>
                <w:lang w:val="ro-MD"/>
              </w:rPr>
              <w:t>Se acceptă</w:t>
            </w:r>
          </w:p>
        </w:tc>
      </w:tr>
      <w:tr w:rsidR="006A5D70" w:rsidRPr="006A5D70" w14:paraId="16387AE5" w14:textId="77777777" w:rsidTr="006A5D70">
        <w:trPr>
          <w:trHeight w:val="70"/>
        </w:trPr>
        <w:tc>
          <w:tcPr>
            <w:tcW w:w="339" w:type="pct"/>
          </w:tcPr>
          <w:p w14:paraId="1ABB18AE" w14:textId="77777777" w:rsidR="003F371A" w:rsidRDefault="006A5D70" w:rsidP="00BB1A04">
            <w:pPr>
              <w:rPr>
                <w:sz w:val="22"/>
                <w:szCs w:val="22"/>
                <w:lang w:val="ro-RO"/>
              </w:rPr>
            </w:pPr>
            <w:r w:rsidRPr="006A5D70">
              <w:rPr>
                <w:sz w:val="22"/>
                <w:szCs w:val="22"/>
                <w:lang w:val="ro-RO"/>
              </w:rPr>
              <w:lastRenderedPageBreak/>
              <w:t>Pct.</w:t>
            </w:r>
          </w:p>
          <w:p w14:paraId="6DFD4088" w14:textId="20529216" w:rsidR="006A5D70" w:rsidRPr="006A5D70" w:rsidRDefault="006A5D70" w:rsidP="00BB1A04">
            <w:pPr>
              <w:rPr>
                <w:sz w:val="22"/>
                <w:szCs w:val="22"/>
                <w:vertAlign w:val="superscript"/>
                <w:lang w:val="ro-RO"/>
              </w:rPr>
            </w:pPr>
            <w:r w:rsidRPr="006A5D70">
              <w:rPr>
                <w:sz w:val="22"/>
                <w:szCs w:val="22"/>
                <w:lang w:val="ro-RO"/>
              </w:rPr>
              <w:t>433</w:t>
            </w:r>
            <w:r w:rsidRPr="006A5D70">
              <w:rPr>
                <w:sz w:val="22"/>
                <w:szCs w:val="22"/>
                <w:vertAlign w:val="superscript"/>
                <w:lang w:val="ro-RO"/>
              </w:rPr>
              <w:t>32</w:t>
            </w:r>
          </w:p>
        </w:tc>
        <w:tc>
          <w:tcPr>
            <w:tcW w:w="536" w:type="pct"/>
          </w:tcPr>
          <w:p w14:paraId="27A19459" w14:textId="77777777" w:rsidR="006A5D70" w:rsidRPr="006A5D70" w:rsidRDefault="006A5D70" w:rsidP="00335651">
            <w:pPr>
              <w:rPr>
                <w:sz w:val="22"/>
                <w:szCs w:val="22"/>
                <w:lang w:val="en-GB"/>
              </w:rPr>
            </w:pPr>
          </w:p>
        </w:tc>
        <w:tc>
          <w:tcPr>
            <w:tcW w:w="1528" w:type="pct"/>
          </w:tcPr>
          <w:p w14:paraId="7CC4E662" w14:textId="723779BD" w:rsidR="006A5D70" w:rsidRPr="003C3D04" w:rsidRDefault="003C3D04" w:rsidP="0080755D">
            <w:pPr>
              <w:pStyle w:val="NormalWeb"/>
              <w:tabs>
                <w:tab w:val="left" w:pos="851"/>
              </w:tabs>
              <w:ind w:firstLine="0"/>
              <w:rPr>
                <w:bCs/>
                <w:color w:val="000000"/>
                <w:sz w:val="22"/>
                <w:szCs w:val="22"/>
                <w:lang w:val="ro-MD"/>
              </w:rPr>
            </w:pPr>
            <w:r w:rsidRPr="003C3D04">
              <w:rPr>
                <w:sz w:val="22"/>
                <w:szCs w:val="22"/>
                <w:lang w:val="ro-MD"/>
              </w:rPr>
              <w:t>În anumite circumstanțe, Agenția poate aproba o altă procedură transparentă și nediscriminatorie decât licitația publică.</w:t>
            </w:r>
          </w:p>
        </w:tc>
        <w:tc>
          <w:tcPr>
            <w:tcW w:w="1537" w:type="pct"/>
          </w:tcPr>
          <w:p w14:paraId="28C72574" w14:textId="4E205B54" w:rsidR="006A5D70" w:rsidRPr="00FB2036" w:rsidRDefault="003C3D04" w:rsidP="00C45E6F">
            <w:pPr>
              <w:jc w:val="both"/>
              <w:rPr>
                <w:b/>
                <w:i/>
                <w:sz w:val="22"/>
                <w:szCs w:val="22"/>
                <w:lang w:val="ro-RO"/>
              </w:rPr>
            </w:pPr>
            <w:r>
              <w:rPr>
                <w:sz w:val="22"/>
                <w:szCs w:val="22"/>
                <w:lang w:val="ro-RO"/>
              </w:rPr>
              <w:t>U</w:t>
            </w:r>
            <w:r w:rsidR="006A5D70" w:rsidRPr="00E0423B">
              <w:rPr>
                <w:sz w:val="22"/>
                <w:szCs w:val="22"/>
                <w:lang w:val="ro-RO"/>
              </w:rPr>
              <w:t>rmează a fi precizate circumstanțele, când autoritatea națională de reglementare poate aproba o altă procedură transparentă și nediscriminatorie decât licitația public, or, în redacția propusă norma nu respect</w:t>
            </w:r>
            <w:r w:rsidR="007B5013">
              <w:rPr>
                <w:sz w:val="22"/>
                <w:szCs w:val="22"/>
                <w:lang w:val="ro-RO"/>
              </w:rPr>
              <w:t>ă</w:t>
            </w:r>
            <w:r w:rsidR="006A5D70" w:rsidRPr="00E0423B">
              <w:rPr>
                <w:sz w:val="22"/>
                <w:szCs w:val="22"/>
                <w:lang w:val="ro-RO"/>
              </w:rPr>
              <w:t xml:space="preserve"> condiția clarității și preciziei.</w:t>
            </w:r>
          </w:p>
        </w:tc>
        <w:tc>
          <w:tcPr>
            <w:cnfStyle w:val="000100000000" w:firstRow="0" w:lastRow="0" w:firstColumn="0" w:lastColumn="1" w:oddVBand="0" w:evenVBand="0" w:oddHBand="0" w:evenHBand="0" w:firstRowFirstColumn="0" w:firstRowLastColumn="0" w:lastRowFirstColumn="0" w:lastRowLastColumn="0"/>
            <w:tcW w:w="1060" w:type="pct"/>
          </w:tcPr>
          <w:p w14:paraId="7AF4A3AF" w14:textId="6C2D0725" w:rsidR="006A5D70" w:rsidRPr="006A5D70" w:rsidRDefault="00245F6F" w:rsidP="008E0AB4">
            <w:pPr>
              <w:jc w:val="both"/>
              <w:rPr>
                <w:sz w:val="22"/>
                <w:szCs w:val="22"/>
                <w:highlight w:val="yellow"/>
                <w:lang w:val="ro-MD"/>
              </w:rPr>
            </w:pPr>
            <w:r w:rsidRPr="00D03862">
              <w:rPr>
                <w:sz w:val="22"/>
                <w:szCs w:val="22"/>
                <w:lang w:val="ro-MD"/>
              </w:rPr>
              <w:t>Se acceptă</w:t>
            </w:r>
          </w:p>
        </w:tc>
      </w:tr>
      <w:tr w:rsidR="00245F6F" w:rsidRPr="00245F6F" w14:paraId="7363F2A5" w14:textId="77777777" w:rsidTr="006A5D70">
        <w:trPr>
          <w:trHeight w:val="70"/>
        </w:trPr>
        <w:tc>
          <w:tcPr>
            <w:tcW w:w="339" w:type="pct"/>
          </w:tcPr>
          <w:p w14:paraId="469F21F3" w14:textId="77777777" w:rsidR="00245F6F" w:rsidRDefault="00245F6F" w:rsidP="00245F6F">
            <w:pPr>
              <w:rPr>
                <w:sz w:val="22"/>
                <w:szCs w:val="22"/>
                <w:lang w:val="ro-RO"/>
              </w:rPr>
            </w:pPr>
            <w:r w:rsidRPr="003F371A">
              <w:rPr>
                <w:sz w:val="22"/>
                <w:szCs w:val="22"/>
                <w:lang w:val="ro-RO"/>
              </w:rPr>
              <w:t>Pct.</w:t>
            </w:r>
          </w:p>
          <w:p w14:paraId="0BAF998A" w14:textId="726277E9" w:rsidR="00245F6F" w:rsidRPr="003F371A" w:rsidRDefault="00245F6F" w:rsidP="00245F6F">
            <w:pPr>
              <w:rPr>
                <w:sz w:val="22"/>
                <w:szCs w:val="22"/>
                <w:vertAlign w:val="superscript"/>
                <w:lang w:val="ro-RO"/>
              </w:rPr>
            </w:pPr>
            <w:r w:rsidRPr="003F371A">
              <w:rPr>
                <w:sz w:val="22"/>
                <w:szCs w:val="22"/>
                <w:lang w:val="ro-RO"/>
              </w:rPr>
              <w:t>433</w:t>
            </w:r>
            <w:r w:rsidRPr="003F371A">
              <w:rPr>
                <w:sz w:val="22"/>
                <w:szCs w:val="22"/>
                <w:vertAlign w:val="superscript"/>
                <w:lang w:val="ro-RO"/>
              </w:rPr>
              <w:t>36</w:t>
            </w:r>
          </w:p>
        </w:tc>
        <w:tc>
          <w:tcPr>
            <w:tcW w:w="536" w:type="pct"/>
          </w:tcPr>
          <w:p w14:paraId="6AA1FED9" w14:textId="77777777" w:rsidR="00245F6F" w:rsidRPr="006A5D70" w:rsidRDefault="00245F6F" w:rsidP="00245F6F">
            <w:pPr>
              <w:rPr>
                <w:sz w:val="22"/>
                <w:szCs w:val="22"/>
                <w:lang w:val="en-GB"/>
              </w:rPr>
            </w:pPr>
          </w:p>
        </w:tc>
        <w:tc>
          <w:tcPr>
            <w:tcW w:w="1528" w:type="pct"/>
          </w:tcPr>
          <w:p w14:paraId="5E57B9BF" w14:textId="77777777" w:rsidR="00245F6F" w:rsidRPr="003C3D04" w:rsidRDefault="00245F6F" w:rsidP="00245F6F">
            <w:pPr>
              <w:jc w:val="both"/>
              <w:rPr>
                <w:sz w:val="22"/>
                <w:szCs w:val="22"/>
                <w:lang w:val="ro-MD"/>
              </w:rPr>
            </w:pPr>
            <w:r w:rsidRPr="003C3D04">
              <w:rPr>
                <w:sz w:val="22"/>
                <w:szCs w:val="22"/>
                <w:lang w:val="ro-MD"/>
              </w:rPr>
              <w:t>Sub rezerva principiilor stabilite la pct. 433</w:t>
            </w:r>
            <w:r w:rsidRPr="003C3D04">
              <w:rPr>
                <w:sz w:val="22"/>
                <w:szCs w:val="22"/>
                <w:vertAlign w:val="superscript"/>
                <w:lang w:val="ro-MD"/>
              </w:rPr>
              <w:t>21</w:t>
            </w:r>
            <w:r w:rsidRPr="003C3D04">
              <w:rPr>
                <w:sz w:val="22"/>
                <w:szCs w:val="22"/>
                <w:lang w:val="ro-MD"/>
              </w:rPr>
              <w:t>, atunci când decide acțiunile de echilibrare adecvate, OST ia următoarele măsuri:</w:t>
            </w:r>
          </w:p>
          <w:p w14:paraId="63BAC21E" w14:textId="4EC6452F" w:rsidR="00245F6F" w:rsidRPr="00245F6F" w:rsidRDefault="00245F6F" w:rsidP="00245F6F">
            <w:pPr>
              <w:ind w:firstLine="708"/>
              <w:jc w:val="both"/>
              <w:rPr>
                <w:sz w:val="22"/>
                <w:szCs w:val="22"/>
                <w:lang w:val="ro-MD"/>
              </w:rPr>
            </w:pPr>
            <w:r w:rsidRPr="003C3D04">
              <w:rPr>
                <w:sz w:val="22"/>
                <w:szCs w:val="22"/>
                <w:lang w:val="ro-MD"/>
              </w:rPr>
              <w:t xml:space="preserve">a) produse de localizare, atunci când, pentru a menține rețeaua de transport în limite operaționale, sunt necesare modificări ale fluxului de gaze naturale la anumite puncte de intrare și/sau de ieșire și/sau pentru a începe la un moment dat </w:t>
            </w:r>
            <w:r>
              <w:rPr>
                <w:sz w:val="22"/>
                <w:szCs w:val="22"/>
                <w:lang w:val="ro-MD"/>
              </w:rPr>
              <w:t>pe parcursul unei zile gaziere;</w:t>
            </w:r>
          </w:p>
        </w:tc>
        <w:tc>
          <w:tcPr>
            <w:tcW w:w="1537" w:type="pct"/>
          </w:tcPr>
          <w:p w14:paraId="3339BD48" w14:textId="77777777" w:rsidR="00245F6F" w:rsidRPr="00E0423B" w:rsidRDefault="00245F6F" w:rsidP="00245F6F">
            <w:pPr>
              <w:jc w:val="both"/>
              <w:rPr>
                <w:b/>
                <w:i/>
                <w:sz w:val="22"/>
                <w:szCs w:val="22"/>
                <w:lang w:val="ro-RO"/>
              </w:rPr>
            </w:pPr>
            <w:r w:rsidRPr="00E0423B">
              <w:rPr>
                <w:sz w:val="22"/>
                <w:szCs w:val="22"/>
                <w:lang w:val="en-US"/>
              </w:rPr>
              <w:t>La pct. 433</w:t>
            </w:r>
            <w:r w:rsidRPr="00E0423B">
              <w:rPr>
                <w:sz w:val="22"/>
                <w:szCs w:val="22"/>
                <w:vertAlign w:val="superscript"/>
                <w:lang w:val="en-US"/>
              </w:rPr>
              <w:t>36</w:t>
            </w:r>
            <w:r w:rsidRPr="00E0423B">
              <w:rPr>
                <w:sz w:val="22"/>
                <w:szCs w:val="22"/>
                <w:lang w:val="en-US"/>
              </w:rPr>
              <w:t>:</w:t>
            </w:r>
          </w:p>
          <w:p w14:paraId="491F4EDE" w14:textId="6D3A64CC" w:rsidR="00245F6F" w:rsidRPr="00E0423B" w:rsidRDefault="00245F6F" w:rsidP="00245F6F">
            <w:pPr>
              <w:jc w:val="both"/>
              <w:rPr>
                <w:sz w:val="22"/>
                <w:szCs w:val="22"/>
                <w:lang w:val="ro-RO"/>
              </w:rPr>
            </w:pPr>
            <w:r w:rsidRPr="00E0423B">
              <w:rPr>
                <w:sz w:val="22"/>
                <w:szCs w:val="22"/>
                <w:lang w:val="ro-RO"/>
              </w:rPr>
              <w:t xml:space="preserve">- la sbp. 1) cuvintele „acest lucru este </w:t>
            </w:r>
            <w:r>
              <w:rPr>
                <w:sz w:val="22"/>
                <w:szCs w:val="22"/>
                <w:lang w:val="ro-RO"/>
              </w:rPr>
              <w:t>oportun” de su</w:t>
            </w:r>
            <w:r w:rsidRPr="00E0423B">
              <w:rPr>
                <w:sz w:val="22"/>
                <w:szCs w:val="22"/>
                <w:lang w:val="ro-RO"/>
              </w:rPr>
              <w:t>bstitu</w:t>
            </w:r>
            <w:r>
              <w:rPr>
                <w:sz w:val="22"/>
                <w:szCs w:val="22"/>
                <w:lang w:val="ro-RO"/>
              </w:rPr>
              <w:t>t</w:t>
            </w:r>
            <w:r w:rsidRPr="00E0423B">
              <w:rPr>
                <w:sz w:val="22"/>
                <w:szCs w:val="22"/>
                <w:lang w:val="ro-RO"/>
              </w:rPr>
              <w:t>i cu cuvintele „acest lucru este adecvat”;</w:t>
            </w:r>
          </w:p>
          <w:p w14:paraId="51218113" w14:textId="1B53B329" w:rsidR="00245F6F" w:rsidRPr="00E0423B" w:rsidRDefault="00245F6F" w:rsidP="00245F6F">
            <w:pPr>
              <w:jc w:val="both"/>
              <w:rPr>
                <w:sz w:val="22"/>
                <w:szCs w:val="22"/>
                <w:lang w:val="ro-RO"/>
              </w:rPr>
            </w:pPr>
            <w:r w:rsidRPr="00E0423B">
              <w:rPr>
                <w:sz w:val="22"/>
                <w:szCs w:val="22"/>
                <w:lang w:val="ro-RO"/>
              </w:rPr>
              <w:t>- la sbp. 2) lit. a) cuvintele „pe</w:t>
            </w:r>
            <w:r>
              <w:rPr>
                <w:sz w:val="22"/>
                <w:szCs w:val="22"/>
                <w:lang w:val="ro-RO"/>
              </w:rPr>
              <w:t xml:space="preserve"> parcursul unei zile gaziere;” de</w:t>
            </w:r>
            <w:r w:rsidRPr="00E0423B">
              <w:rPr>
                <w:sz w:val="22"/>
                <w:szCs w:val="22"/>
                <w:lang w:val="ro-RO"/>
              </w:rPr>
              <w:t xml:space="preserve"> substitui</w:t>
            </w:r>
            <w:r>
              <w:rPr>
                <w:sz w:val="22"/>
                <w:szCs w:val="22"/>
                <w:lang w:val="ro-RO"/>
              </w:rPr>
              <w:t>t</w:t>
            </w:r>
            <w:r w:rsidRPr="00E0423B">
              <w:rPr>
                <w:sz w:val="22"/>
                <w:szCs w:val="22"/>
                <w:lang w:val="ro-RO"/>
              </w:rPr>
              <w:t xml:space="preserve"> cu cuvintele „în cursul zilei gaziere;”;</w:t>
            </w:r>
          </w:p>
          <w:p w14:paraId="7491C9A6" w14:textId="0457D4DF" w:rsidR="00245F6F" w:rsidRPr="00E0423B" w:rsidRDefault="00245F6F" w:rsidP="00245F6F">
            <w:pPr>
              <w:ind w:firstLine="708"/>
              <w:jc w:val="both"/>
              <w:rPr>
                <w:sz w:val="22"/>
                <w:szCs w:val="22"/>
                <w:lang w:val="en-US"/>
              </w:rPr>
            </w:pPr>
          </w:p>
          <w:p w14:paraId="0EB5D956" w14:textId="77777777" w:rsidR="00245F6F" w:rsidRPr="006A5D70" w:rsidRDefault="00245F6F" w:rsidP="00E80DB2">
            <w:pPr>
              <w:ind w:firstLine="708"/>
              <w:jc w:val="both"/>
              <w:rPr>
                <w:b/>
                <w:sz w:val="22"/>
                <w:szCs w:val="22"/>
                <w:lang w:val="ro-RO"/>
              </w:rPr>
            </w:pPr>
          </w:p>
        </w:tc>
        <w:tc>
          <w:tcPr>
            <w:cnfStyle w:val="000100000000" w:firstRow="0" w:lastRow="0" w:firstColumn="0" w:lastColumn="1" w:oddVBand="0" w:evenVBand="0" w:oddHBand="0" w:evenHBand="0" w:firstRowFirstColumn="0" w:firstRowLastColumn="0" w:lastRowFirstColumn="0" w:lastRowLastColumn="0"/>
            <w:tcW w:w="1060" w:type="pct"/>
          </w:tcPr>
          <w:p w14:paraId="715F62F3" w14:textId="5A3C4090" w:rsidR="00245F6F" w:rsidRPr="006A5D70" w:rsidRDefault="00245F6F" w:rsidP="00575BB2">
            <w:pPr>
              <w:jc w:val="both"/>
              <w:rPr>
                <w:sz w:val="22"/>
                <w:szCs w:val="22"/>
                <w:highlight w:val="yellow"/>
                <w:lang w:val="ro-MD"/>
              </w:rPr>
            </w:pPr>
            <w:r w:rsidRPr="00D03862">
              <w:rPr>
                <w:sz w:val="22"/>
                <w:szCs w:val="22"/>
                <w:lang w:val="ro-MD"/>
              </w:rPr>
              <w:t>Se acceptă</w:t>
            </w:r>
          </w:p>
        </w:tc>
      </w:tr>
      <w:tr w:rsidR="00245F6F" w:rsidRPr="006A5D70" w14:paraId="6BB2A1D0" w14:textId="77777777" w:rsidTr="006A5D70">
        <w:trPr>
          <w:trHeight w:val="70"/>
        </w:trPr>
        <w:tc>
          <w:tcPr>
            <w:tcW w:w="339" w:type="pct"/>
          </w:tcPr>
          <w:p w14:paraId="5F4BF4B3" w14:textId="77777777" w:rsidR="00245F6F" w:rsidRDefault="00245F6F" w:rsidP="00245F6F">
            <w:pPr>
              <w:rPr>
                <w:sz w:val="22"/>
                <w:szCs w:val="22"/>
                <w:lang w:val="ro-RO"/>
              </w:rPr>
            </w:pPr>
            <w:r w:rsidRPr="003F371A">
              <w:rPr>
                <w:sz w:val="22"/>
                <w:szCs w:val="22"/>
                <w:lang w:val="ro-RO"/>
              </w:rPr>
              <w:t>Pct.</w:t>
            </w:r>
          </w:p>
          <w:p w14:paraId="1F47BDB1" w14:textId="7B90063B" w:rsidR="00245F6F" w:rsidRPr="003F371A" w:rsidRDefault="00245F6F" w:rsidP="00245F6F">
            <w:pPr>
              <w:rPr>
                <w:sz w:val="22"/>
                <w:szCs w:val="22"/>
                <w:vertAlign w:val="superscript"/>
                <w:lang w:val="ro-RO"/>
              </w:rPr>
            </w:pPr>
            <w:r w:rsidRPr="003F371A">
              <w:rPr>
                <w:sz w:val="22"/>
                <w:szCs w:val="22"/>
                <w:lang w:val="ro-RO"/>
              </w:rPr>
              <w:t>433</w:t>
            </w:r>
            <w:r w:rsidRPr="003F371A">
              <w:rPr>
                <w:sz w:val="22"/>
                <w:szCs w:val="22"/>
                <w:vertAlign w:val="superscript"/>
                <w:lang w:val="ro-RO"/>
              </w:rPr>
              <w:t>37</w:t>
            </w:r>
          </w:p>
        </w:tc>
        <w:tc>
          <w:tcPr>
            <w:tcW w:w="536" w:type="pct"/>
          </w:tcPr>
          <w:p w14:paraId="1E44F9DB" w14:textId="77777777" w:rsidR="00245F6F" w:rsidRPr="006A5D70" w:rsidRDefault="00245F6F" w:rsidP="00245F6F">
            <w:pPr>
              <w:rPr>
                <w:sz w:val="22"/>
                <w:szCs w:val="22"/>
                <w:lang w:val="en-GB"/>
              </w:rPr>
            </w:pPr>
          </w:p>
        </w:tc>
        <w:tc>
          <w:tcPr>
            <w:tcW w:w="1528" w:type="pct"/>
          </w:tcPr>
          <w:p w14:paraId="57321622" w14:textId="6F110E82" w:rsidR="00245F6F" w:rsidRPr="003C3D04" w:rsidRDefault="00245F6F" w:rsidP="00245F6F">
            <w:pPr>
              <w:pStyle w:val="NormalWeb"/>
              <w:tabs>
                <w:tab w:val="left" w:pos="851"/>
              </w:tabs>
              <w:ind w:firstLine="0"/>
              <w:rPr>
                <w:bCs/>
                <w:color w:val="000000"/>
                <w:sz w:val="22"/>
                <w:szCs w:val="22"/>
                <w:lang w:val="ro-MD"/>
              </w:rPr>
            </w:pPr>
            <w:r w:rsidRPr="003C3D04">
              <w:rPr>
                <w:sz w:val="22"/>
                <w:szCs w:val="22"/>
                <w:lang w:val="ro-MD"/>
              </w:rPr>
              <w:t>Atunci când tranzacționează PSTS, OST acordă prioritate utilizării produselor intrazilnice/ pe parcursul zilei în detrimentul produselor pentru ziua următoare, după caz și în măsura adecvată. acordulAgenției pentru a tranzacționa în cadrul unei zone de echilibrare adiacente și a i se transporta gazele naturale către și dinspre respectiva zonă de echilibrare ca alternativă la tranzacționarea de produse titlu și/sau de produse de localizare în propria (propriile) zonă (zone) de echilibrare. În momentul în care se ia decizia de acordare a aprobării, Agenției poate examina soluții alternative pentru îmbunătățirea funcționării pieței interne. Termenii și condițiile aplicabile sunt reexaminate anual de către OST și de către Agenție. Recurgerea la această acțiune de echilibrare nu limitează accesul la capacitatea din punctul de interconectare respectiv și nici utilizarea acestei capacități de către utilizatorii de sistem.</w:t>
            </w:r>
          </w:p>
        </w:tc>
        <w:tc>
          <w:tcPr>
            <w:tcW w:w="1537" w:type="pct"/>
          </w:tcPr>
          <w:p w14:paraId="5B108EC1" w14:textId="77777777" w:rsidR="00245F6F" w:rsidRPr="00E0423B" w:rsidRDefault="00245F6F" w:rsidP="00245F6F">
            <w:pPr>
              <w:jc w:val="both"/>
              <w:rPr>
                <w:sz w:val="22"/>
                <w:szCs w:val="22"/>
                <w:lang w:val="ro-RO"/>
              </w:rPr>
            </w:pPr>
            <w:r w:rsidRPr="00E0423B">
              <w:rPr>
                <w:sz w:val="22"/>
                <w:szCs w:val="22"/>
                <w:lang w:val="ro-RO"/>
              </w:rPr>
              <w:t>Pct. 433</w:t>
            </w:r>
            <w:r w:rsidRPr="00E0423B">
              <w:rPr>
                <w:sz w:val="22"/>
                <w:szCs w:val="22"/>
                <w:vertAlign w:val="superscript"/>
                <w:lang w:val="ro-RO"/>
              </w:rPr>
              <w:t>37</w:t>
            </w:r>
            <w:r w:rsidRPr="00E0423B">
              <w:rPr>
                <w:sz w:val="22"/>
                <w:szCs w:val="22"/>
                <w:lang w:val="ro-RO"/>
              </w:rPr>
              <w:t xml:space="preserve"> propunem a fi divizat în două puncte: 433</w:t>
            </w:r>
            <w:r w:rsidRPr="00E0423B">
              <w:rPr>
                <w:sz w:val="22"/>
                <w:szCs w:val="22"/>
                <w:vertAlign w:val="superscript"/>
                <w:lang w:val="ro-RO"/>
              </w:rPr>
              <w:t>37</w:t>
            </w:r>
            <w:r w:rsidRPr="00E0423B">
              <w:rPr>
                <w:sz w:val="22"/>
                <w:szCs w:val="22"/>
                <w:lang w:val="ro-RO"/>
              </w:rPr>
              <w:t xml:space="preserve"> și 433</w:t>
            </w:r>
            <w:r w:rsidRPr="00E0423B">
              <w:rPr>
                <w:sz w:val="22"/>
                <w:szCs w:val="22"/>
                <w:vertAlign w:val="superscript"/>
                <w:lang w:val="ro-RO"/>
              </w:rPr>
              <w:t>38</w:t>
            </w:r>
            <w:r w:rsidRPr="00E0423B">
              <w:rPr>
                <w:sz w:val="22"/>
                <w:szCs w:val="22"/>
                <w:lang w:val="ro-RO"/>
              </w:rPr>
              <w:t>, iar propoziția a doua va începe cu textul: „OST poate solicita”, în continuare după text.</w:t>
            </w:r>
          </w:p>
          <w:p w14:paraId="3787EC72" w14:textId="160CA682" w:rsidR="00245F6F" w:rsidRPr="006A5D70" w:rsidRDefault="00245F6F" w:rsidP="00245F6F">
            <w:pPr>
              <w:jc w:val="both"/>
              <w:rPr>
                <w:b/>
                <w:sz w:val="22"/>
                <w:szCs w:val="22"/>
                <w:lang w:val="ro-RO"/>
              </w:rPr>
            </w:pPr>
          </w:p>
        </w:tc>
        <w:tc>
          <w:tcPr>
            <w:cnfStyle w:val="000100000000" w:firstRow="0" w:lastRow="0" w:firstColumn="0" w:lastColumn="1" w:oddVBand="0" w:evenVBand="0" w:oddHBand="0" w:evenHBand="0" w:firstRowFirstColumn="0" w:firstRowLastColumn="0" w:lastRowFirstColumn="0" w:lastRowLastColumn="0"/>
            <w:tcW w:w="1060" w:type="pct"/>
          </w:tcPr>
          <w:p w14:paraId="74869FF0" w14:textId="7015BC1F" w:rsidR="00245F6F" w:rsidRPr="00E80DB2" w:rsidRDefault="00E80DB2" w:rsidP="00245F6F">
            <w:pPr>
              <w:jc w:val="both"/>
              <w:rPr>
                <w:sz w:val="22"/>
                <w:szCs w:val="22"/>
                <w:highlight w:val="yellow"/>
                <w:lang w:val="ro-MD"/>
              </w:rPr>
            </w:pPr>
            <w:r w:rsidRPr="00D03862">
              <w:rPr>
                <w:sz w:val="22"/>
                <w:szCs w:val="22"/>
                <w:lang w:val="ro-MD"/>
              </w:rPr>
              <w:t>Se acceptă</w:t>
            </w:r>
          </w:p>
        </w:tc>
      </w:tr>
      <w:tr w:rsidR="00245F6F" w:rsidRPr="00511A6A" w14:paraId="03BEC960" w14:textId="77777777" w:rsidTr="006A5D70">
        <w:trPr>
          <w:trHeight w:val="70"/>
        </w:trPr>
        <w:tc>
          <w:tcPr>
            <w:tcW w:w="339" w:type="pct"/>
          </w:tcPr>
          <w:p w14:paraId="4CC5B8FD" w14:textId="77777777" w:rsidR="00245F6F" w:rsidRDefault="00245F6F" w:rsidP="00245F6F">
            <w:pPr>
              <w:rPr>
                <w:sz w:val="22"/>
                <w:szCs w:val="22"/>
                <w:lang w:val="ro-RO"/>
              </w:rPr>
            </w:pPr>
            <w:r w:rsidRPr="003F371A">
              <w:rPr>
                <w:sz w:val="22"/>
                <w:szCs w:val="22"/>
                <w:lang w:val="ro-RO"/>
              </w:rPr>
              <w:t>Pct.</w:t>
            </w:r>
          </w:p>
          <w:p w14:paraId="049F9E09" w14:textId="20E00252" w:rsidR="00245F6F" w:rsidRPr="003F371A" w:rsidRDefault="00245F6F" w:rsidP="00245F6F">
            <w:pPr>
              <w:rPr>
                <w:sz w:val="22"/>
                <w:szCs w:val="22"/>
                <w:vertAlign w:val="superscript"/>
                <w:lang w:val="ro-RO"/>
              </w:rPr>
            </w:pPr>
            <w:r w:rsidRPr="003F371A">
              <w:rPr>
                <w:sz w:val="22"/>
                <w:szCs w:val="22"/>
                <w:lang w:val="ro-RO"/>
              </w:rPr>
              <w:t>433</w:t>
            </w:r>
            <w:r w:rsidRPr="003F371A">
              <w:rPr>
                <w:sz w:val="22"/>
                <w:szCs w:val="22"/>
                <w:vertAlign w:val="superscript"/>
                <w:lang w:val="ro-RO"/>
              </w:rPr>
              <w:t>44</w:t>
            </w:r>
          </w:p>
        </w:tc>
        <w:tc>
          <w:tcPr>
            <w:tcW w:w="536" w:type="pct"/>
          </w:tcPr>
          <w:p w14:paraId="7A7E6CD3" w14:textId="77777777" w:rsidR="00245F6F" w:rsidRPr="006A5D70" w:rsidRDefault="00245F6F" w:rsidP="00245F6F">
            <w:pPr>
              <w:rPr>
                <w:sz w:val="22"/>
                <w:szCs w:val="22"/>
                <w:lang w:val="en-GB"/>
              </w:rPr>
            </w:pPr>
          </w:p>
        </w:tc>
        <w:tc>
          <w:tcPr>
            <w:tcW w:w="1528" w:type="pct"/>
          </w:tcPr>
          <w:p w14:paraId="44F1DAB4" w14:textId="77777777" w:rsidR="00245F6F" w:rsidRPr="002E537D" w:rsidRDefault="00245F6F" w:rsidP="00245F6F">
            <w:pPr>
              <w:jc w:val="both"/>
              <w:rPr>
                <w:sz w:val="22"/>
                <w:szCs w:val="22"/>
                <w:lang w:val="ro-MD"/>
              </w:rPr>
            </w:pPr>
            <w:r w:rsidRPr="002E537D">
              <w:rPr>
                <w:sz w:val="22"/>
                <w:szCs w:val="22"/>
                <w:lang w:val="ro-MD"/>
              </w:rPr>
              <w:t>Operatorul platformei de tranzacționare:</w:t>
            </w:r>
          </w:p>
          <w:p w14:paraId="0D60138B" w14:textId="77777777" w:rsidR="00245F6F" w:rsidRPr="002E537D" w:rsidRDefault="00245F6F" w:rsidP="00245F6F">
            <w:pPr>
              <w:ind w:firstLine="708"/>
              <w:jc w:val="both"/>
              <w:rPr>
                <w:sz w:val="22"/>
                <w:szCs w:val="22"/>
                <w:lang w:val="ro-MD"/>
              </w:rPr>
            </w:pPr>
            <w:r w:rsidRPr="002E537D">
              <w:rPr>
                <w:sz w:val="22"/>
                <w:szCs w:val="22"/>
                <w:lang w:val="ro-MD"/>
              </w:rPr>
              <w:t>1) publică fără întârziere evoluția prețului marginal de cumpărare și a prețului marginal de vânzare după fiecare tranzacție; sau</w:t>
            </w:r>
          </w:p>
          <w:p w14:paraId="39DA8168" w14:textId="77777777" w:rsidR="00245F6F" w:rsidRPr="002E537D" w:rsidRDefault="00245F6F" w:rsidP="00245F6F">
            <w:pPr>
              <w:ind w:firstLine="708"/>
              <w:jc w:val="both"/>
              <w:rPr>
                <w:sz w:val="22"/>
                <w:szCs w:val="22"/>
                <w:lang w:val="ro-MD"/>
              </w:rPr>
            </w:pPr>
            <w:r w:rsidRPr="002E537D">
              <w:rPr>
                <w:sz w:val="22"/>
                <w:szCs w:val="22"/>
                <w:lang w:val="ro-MD"/>
              </w:rPr>
              <w:lastRenderedPageBreak/>
              <w:t>2) transmite OST informațiile relevante atunci când OST alege să publice evoluția prețului marginal de cumpărare și marginal de vânzare. OST publică fără întârziere informațiile în cauză.</w:t>
            </w:r>
          </w:p>
          <w:p w14:paraId="5F21C546" w14:textId="77777777" w:rsidR="00245F6F" w:rsidRPr="002E537D" w:rsidRDefault="00245F6F" w:rsidP="00E80DB2">
            <w:pPr>
              <w:ind w:firstLine="708"/>
              <w:jc w:val="both"/>
              <w:rPr>
                <w:bCs/>
                <w:color w:val="000000"/>
                <w:sz w:val="22"/>
                <w:szCs w:val="22"/>
                <w:lang w:val="ro-MD"/>
              </w:rPr>
            </w:pPr>
          </w:p>
        </w:tc>
        <w:tc>
          <w:tcPr>
            <w:tcW w:w="1537" w:type="pct"/>
          </w:tcPr>
          <w:p w14:paraId="2D99FA8D" w14:textId="0302283A" w:rsidR="00245F6F" w:rsidRPr="006A5D70" w:rsidRDefault="00245F6F" w:rsidP="00245F6F">
            <w:pPr>
              <w:jc w:val="both"/>
              <w:rPr>
                <w:b/>
                <w:sz w:val="22"/>
                <w:szCs w:val="22"/>
                <w:lang w:val="ro-RO"/>
              </w:rPr>
            </w:pPr>
            <w:r>
              <w:rPr>
                <w:sz w:val="22"/>
                <w:szCs w:val="22"/>
                <w:lang w:val="en-US"/>
              </w:rPr>
              <w:lastRenderedPageBreak/>
              <w:t>S</w:t>
            </w:r>
            <w:r w:rsidRPr="00E0423B">
              <w:rPr>
                <w:sz w:val="22"/>
                <w:szCs w:val="22"/>
                <w:lang w:val="en-US"/>
              </w:rPr>
              <w:t>bp. 2) textul „transmite OST informațiile relevante atunci când OST alege să publice evoluția prețului marginal de cumpărare și marginal de vânzare</w:t>
            </w:r>
            <w:r>
              <w:rPr>
                <w:sz w:val="22"/>
                <w:szCs w:val="22"/>
                <w:lang w:val="en-US"/>
              </w:rPr>
              <w:t>” d</w:t>
            </w:r>
            <w:r w:rsidRPr="00E0423B">
              <w:rPr>
                <w:sz w:val="22"/>
                <w:szCs w:val="22"/>
                <w:lang w:val="en-US"/>
              </w:rPr>
              <w:t>e substitui</w:t>
            </w:r>
            <w:r>
              <w:rPr>
                <w:sz w:val="22"/>
                <w:szCs w:val="22"/>
                <w:lang w:val="en-US"/>
              </w:rPr>
              <w:t>t</w:t>
            </w:r>
            <w:r w:rsidRPr="00E0423B">
              <w:rPr>
                <w:sz w:val="22"/>
                <w:szCs w:val="22"/>
                <w:lang w:val="en-US"/>
              </w:rPr>
              <w:t xml:space="preserve"> cu textul </w:t>
            </w:r>
            <w:r w:rsidRPr="00E0423B">
              <w:rPr>
                <w:sz w:val="22"/>
                <w:szCs w:val="22"/>
                <w:lang w:val="en-US"/>
              </w:rPr>
              <w:lastRenderedPageBreak/>
              <w:t>„furnizează OST informațiile referitoare la locul ales de operatorul de sistem de transport pentru publicarea evoluției prețului de cumpărare marginal și a prețului de vânzare marginal”</w:t>
            </w:r>
            <w:r>
              <w:rPr>
                <w:sz w:val="22"/>
                <w:szCs w:val="22"/>
                <w:lang w:val="en-US"/>
              </w:rPr>
              <w:t>, or, Î</w:t>
            </w:r>
            <w:r w:rsidRPr="00E0423B">
              <w:rPr>
                <w:sz w:val="22"/>
                <w:szCs w:val="22"/>
                <w:lang w:val="en-US"/>
              </w:rPr>
              <w:t>n sensul Regulamentului (CE) NR. 312/2014 este utilizată noțiunea de „furnizare a informației”.</w:t>
            </w:r>
          </w:p>
        </w:tc>
        <w:tc>
          <w:tcPr>
            <w:cnfStyle w:val="000100000000" w:firstRow="0" w:lastRow="0" w:firstColumn="0" w:lastColumn="1" w:oddVBand="0" w:evenVBand="0" w:oddHBand="0" w:evenHBand="0" w:firstRowFirstColumn="0" w:firstRowLastColumn="0" w:lastRowFirstColumn="0" w:lastRowLastColumn="0"/>
            <w:tcW w:w="1060" w:type="pct"/>
          </w:tcPr>
          <w:p w14:paraId="072DD130" w14:textId="492FC92F" w:rsidR="00245F6F" w:rsidRPr="00FB2036" w:rsidRDefault="00E80DB2" w:rsidP="00FB2036">
            <w:pPr>
              <w:jc w:val="both"/>
              <w:rPr>
                <w:b w:val="0"/>
                <w:sz w:val="22"/>
                <w:szCs w:val="22"/>
                <w:highlight w:val="yellow"/>
                <w:lang w:val="ro-MD"/>
              </w:rPr>
            </w:pPr>
            <w:r w:rsidRPr="00E80DB2">
              <w:rPr>
                <w:sz w:val="22"/>
                <w:szCs w:val="22"/>
                <w:lang w:val="ro-MD"/>
              </w:rPr>
              <w:lastRenderedPageBreak/>
              <w:t xml:space="preserve">Nu se acceptă. </w:t>
            </w:r>
            <w:r>
              <w:rPr>
                <w:b w:val="0"/>
                <w:sz w:val="22"/>
                <w:szCs w:val="22"/>
                <w:lang w:val="ro-MD"/>
              </w:rPr>
              <w:t>Redactat în conformitate cu</w:t>
            </w:r>
            <w:r w:rsidR="00245F6F" w:rsidRPr="00E80DB2">
              <w:rPr>
                <w:b w:val="0"/>
                <w:sz w:val="22"/>
                <w:szCs w:val="22"/>
                <w:lang w:val="ro-MD"/>
              </w:rPr>
              <w:t xml:space="preserve"> Legea nr.108/2016 cu privire la gazele naturale şi în tot textul Codului </w:t>
            </w:r>
            <w:r w:rsidR="00245F6F" w:rsidRPr="00E80DB2">
              <w:rPr>
                <w:b w:val="0"/>
                <w:sz w:val="22"/>
                <w:szCs w:val="22"/>
                <w:lang w:val="ro-MD"/>
              </w:rPr>
              <w:lastRenderedPageBreak/>
              <w:t xml:space="preserve">reţelelor de gaze naturale nr.420 /2019 din 22.11.2019. </w:t>
            </w:r>
            <w:r>
              <w:rPr>
                <w:b w:val="0"/>
                <w:sz w:val="22"/>
                <w:szCs w:val="22"/>
                <w:lang w:val="ro-MD"/>
              </w:rPr>
              <w:t>Cuvîntul furnizează poate crea confuzii cu activitatea de furnizarea gazelor naturale, pe care OST nu o desfășoară.</w:t>
            </w:r>
          </w:p>
        </w:tc>
      </w:tr>
      <w:tr w:rsidR="00245F6F" w:rsidRPr="006A5D70" w14:paraId="7D962593" w14:textId="77777777" w:rsidTr="006A5D70">
        <w:trPr>
          <w:trHeight w:val="70"/>
        </w:trPr>
        <w:tc>
          <w:tcPr>
            <w:tcW w:w="339" w:type="pct"/>
          </w:tcPr>
          <w:p w14:paraId="2408DB09" w14:textId="77777777" w:rsidR="00245F6F" w:rsidRPr="003F371A" w:rsidRDefault="00245F6F" w:rsidP="00245F6F">
            <w:pPr>
              <w:rPr>
                <w:sz w:val="22"/>
                <w:szCs w:val="22"/>
                <w:lang w:val="ro-RO"/>
              </w:rPr>
            </w:pPr>
            <w:r w:rsidRPr="003F371A">
              <w:rPr>
                <w:sz w:val="22"/>
                <w:szCs w:val="22"/>
                <w:lang w:val="ro-RO"/>
              </w:rPr>
              <w:lastRenderedPageBreak/>
              <w:t>Pct.</w:t>
            </w:r>
          </w:p>
          <w:p w14:paraId="4E9D01DC" w14:textId="77777777" w:rsidR="00245F6F" w:rsidRDefault="00245F6F" w:rsidP="00245F6F">
            <w:pPr>
              <w:rPr>
                <w:sz w:val="22"/>
                <w:szCs w:val="22"/>
                <w:lang w:val="ro-RO"/>
              </w:rPr>
            </w:pPr>
            <w:r w:rsidRPr="003F371A">
              <w:rPr>
                <w:sz w:val="22"/>
                <w:szCs w:val="22"/>
                <w:lang w:val="ro-RO"/>
              </w:rPr>
              <w:t>433</w:t>
            </w:r>
            <w:r w:rsidRPr="003F371A">
              <w:rPr>
                <w:sz w:val="22"/>
                <w:szCs w:val="22"/>
                <w:vertAlign w:val="superscript"/>
                <w:lang w:val="ro-RO"/>
              </w:rPr>
              <w:t>48</w:t>
            </w:r>
            <w:r>
              <w:rPr>
                <w:sz w:val="22"/>
                <w:szCs w:val="22"/>
                <w:lang w:val="ro-RO"/>
              </w:rPr>
              <w:t>, pct.</w:t>
            </w:r>
          </w:p>
          <w:p w14:paraId="305BD6F2" w14:textId="072C6EA2" w:rsidR="00245F6F" w:rsidRPr="003F371A" w:rsidRDefault="00245F6F" w:rsidP="00245F6F">
            <w:pPr>
              <w:rPr>
                <w:b/>
                <w:sz w:val="22"/>
                <w:szCs w:val="22"/>
                <w:vertAlign w:val="superscript"/>
                <w:lang w:val="ro-RO"/>
              </w:rPr>
            </w:pPr>
            <w:r>
              <w:rPr>
                <w:sz w:val="22"/>
                <w:szCs w:val="22"/>
                <w:lang w:val="ro-RO"/>
              </w:rPr>
              <w:t>433</w:t>
            </w:r>
            <w:r>
              <w:rPr>
                <w:sz w:val="22"/>
                <w:szCs w:val="22"/>
                <w:vertAlign w:val="superscript"/>
                <w:lang w:val="ro-RO"/>
              </w:rPr>
              <w:t>52</w:t>
            </w:r>
          </w:p>
        </w:tc>
        <w:tc>
          <w:tcPr>
            <w:tcW w:w="536" w:type="pct"/>
          </w:tcPr>
          <w:p w14:paraId="4E51C1FB" w14:textId="77777777" w:rsidR="00245F6F" w:rsidRPr="006A5D70" w:rsidRDefault="00245F6F" w:rsidP="00245F6F">
            <w:pPr>
              <w:rPr>
                <w:sz w:val="22"/>
                <w:szCs w:val="22"/>
                <w:lang w:val="en-GB"/>
              </w:rPr>
            </w:pPr>
          </w:p>
        </w:tc>
        <w:tc>
          <w:tcPr>
            <w:tcW w:w="1528" w:type="pct"/>
          </w:tcPr>
          <w:p w14:paraId="44F1D1F0" w14:textId="77777777" w:rsidR="00245F6F" w:rsidRPr="002E537D" w:rsidRDefault="00245F6F" w:rsidP="00245F6F">
            <w:pPr>
              <w:pStyle w:val="NormalWeb"/>
              <w:tabs>
                <w:tab w:val="left" w:pos="851"/>
              </w:tabs>
              <w:ind w:firstLine="0"/>
              <w:rPr>
                <w:sz w:val="22"/>
                <w:szCs w:val="22"/>
                <w:lang w:val="ro-MD"/>
              </w:rPr>
            </w:pPr>
            <w:r w:rsidRPr="002E537D">
              <w:rPr>
                <w:sz w:val="22"/>
                <w:szCs w:val="22"/>
                <w:lang w:val="ro-MD"/>
              </w:rPr>
              <w:t>OST poate prezenta Agenției, spre aprobare, un mecanism de stimulare care să fie coerent cu principiile generale stabilite în Cod.</w:t>
            </w:r>
          </w:p>
          <w:p w14:paraId="318B9047" w14:textId="0F87BD23" w:rsidR="00245F6F" w:rsidRPr="002E537D" w:rsidRDefault="00245F6F" w:rsidP="00245F6F">
            <w:pPr>
              <w:pStyle w:val="NormalWeb"/>
              <w:tabs>
                <w:tab w:val="left" w:pos="851"/>
              </w:tabs>
              <w:ind w:firstLine="0"/>
              <w:rPr>
                <w:bCs/>
                <w:color w:val="000000"/>
                <w:sz w:val="22"/>
                <w:szCs w:val="22"/>
                <w:lang w:val="ro-MD"/>
              </w:rPr>
            </w:pPr>
            <w:r w:rsidRPr="002E537D">
              <w:rPr>
                <w:sz w:val="22"/>
                <w:szCs w:val="22"/>
                <w:lang w:val="ro-MD"/>
              </w:rPr>
              <w:t xml:space="preserve">433 </w:t>
            </w:r>
            <w:r w:rsidRPr="002E537D">
              <w:rPr>
                <w:sz w:val="22"/>
                <w:szCs w:val="22"/>
                <w:vertAlign w:val="superscript"/>
                <w:lang w:val="ro-MD"/>
              </w:rPr>
              <w:t>52</w:t>
            </w:r>
            <w:r w:rsidRPr="002E537D">
              <w:rPr>
                <w:sz w:val="22"/>
                <w:szCs w:val="22"/>
                <w:lang w:val="ro-MD"/>
              </w:rPr>
              <w:t>OST poate solicita utilizatorilor de sistem să ofere informații suplimentare privind nominalizările și renominalizările, pe lângă cerințele prevăzute în Cod, inclusiv printre altele, o prognoză actualizată și suficient de detaliată a intrărilor și ieșirilor preconizate, în conformitate cu nevoile specifice ale OST.</w:t>
            </w:r>
          </w:p>
        </w:tc>
        <w:tc>
          <w:tcPr>
            <w:tcW w:w="1537" w:type="pct"/>
          </w:tcPr>
          <w:p w14:paraId="7D071A08" w14:textId="24E2C88B" w:rsidR="00245F6F" w:rsidRPr="00E0423B" w:rsidRDefault="00245F6F" w:rsidP="00E80DB2">
            <w:pPr>
              <w:jc w:val="both"/>
              <w:rPr>
                <w:sz w:val="22"/>
                <w:szCs w:val="22"/>
                <w:lang w:val="en-US"/>
              </w:rPr>
            </w:pPr>
            <w:r w:rsidRPr="00E0423B">
              <w:rPr>
                <w:sz w:val="22"/>
                <w:szCs w:val="22"/>
                <w:lang w:val="en-US"/>
              </w:rPr>
              <w:t>La pct. 433</w:t>
            </w:r>
            <w:r w:rsidRPr="00E0423B">
              <w:rPr>
                <w:sz w:val="22"/>
                <w:szCs w:val="22"/>
                <w:vertAlign w:val="superscript"/>
                <w:lang w:val="en-US"/>
              </w:rPr>
              <w:t>48</w:t>
            </w:r>
            <w:r w:rsidRPr="00E0423B">
              <w:rPr>
                <w:sz w:val="22"/>
                <w:szCs w:val="22"/>
                <w:lang w:val="en-US"/>
              </w:rPr>
              <w:t xml:space="preserve"> și pct. 433</w:t>
            </w:r>
            <w:r w:rsidRPr="00E0423B">
              <w:rPr>
                <w:sz w:val="22"/>
                <w:szCs w:val="22"/>
                <w:vertAlign w:val="superscript"/>
                <w:lang w:val="en-US"/>
              </w:rPr>
              <w:t>52</w:t>
            </w:r>
            <w:r>
              <w:rPr>
                <w:sz w:val="22"/>
                <w:szCs w:val="22"/>
                <w:lang w:val="en-US"/>
              </w:rPr>
              <w:t xml:space="preserve"> cuvintele „în Cod” de</w:t>
            </w:r>
            <w:r w:rsidRPr="00E0423B">
              <w:rPr>
                <w:sz w:val="22"/>
                <w:szCs w:val="22"/>
                <w:lang w:val="en-US"/>
              </w:rPr>
              <w:t xml:space="preserve"> substitui</w:t>
            </w:r>
            <w:r>
              <w:rPr>
                <w:sz w:val="22"/>
                <w:szCs w:val="22"/>
                <w:lang w:val="en-US"/>
              </w:rPr>
              <w:t>t</w:t>
            </w:r>
            <w:r w:rsidRPr="00E0423B">
              <w:rPr>
                <w:sz w:val="22"/>
                <w:szCs w:val="22"/>
                <w:lang w:val="en-US"/>
              </w:rPr>
              <w:t xml:space="preserve"> cu cuvintele „în prezentul Cod”.</w:t>
            </w:r>
          </w:p>
          <w:p w14:paraId="522AC251" w14:textId="77777777" w:rsidR="00245F6F" w:rsidRPr="006A5D70" w:rsidRDefault="00245F6F" w:rsidP="00245F6F">
            <w:pPr>
              <w:jc w:val="both"/>
              <w:rPr>
                <w:b/>
                <w:sz w:val="22"/>
                <w:szCs w:val="22"/>
                <w:lang w:val="ro-RO"/>
              </w:rPr>
            </w:pPr>
          </w:p>
        </w:tc>
        <w:tc>
          <w:tcPr>
            <w:cnfStyle w:val="000100000000" w:firstRow="0" w:lastRow="0" w:firstColumn="0" w:lastColumn="1" w:oddVBand="0" w:evenVBand="0" w:oddHBand="0" w:evenHBand="0" w:firstRowFirstColumn="0" w:firstRowLastColumn="0" w:lastRowFirstColumn="0" w:lastRowLastColumn="0"/>
            <w:tcW w:w="1060" w:type="pct"/>
          </w:tcPr>
          <w:p w14:paraId="4D6D850D" w14:textId="40917DC5" w:rsidR="00245F6F" w:rsidRPr="006A5D70" w:rsidRDefault="00E80DB2" w:rsidP="00245F6F">
            <w:pPr>
              <w:jc w:val="both"/>
              <w:rPr>
                <w:sz w:val="22"/>
                <w:szCs w:val="22"/>
                <w:highlight w:val="yellow"/>
                <w:lang w:val="ro-MD"/>
              </w:rPr>
            </w:pPr>
            <w:r w:rsidRPr="00D03862">
              <w:rPr>
                <w:sz w:val="22"/>
                <w:szCs w:val="22"/>
                <w:lang w:val="ro-MD"/>
              </w:rPr>
              <w:t>Se acceptă</w:t>
            </w:r>
          </w:p>
        </w:tc>
      </w:tr>
      <w:tr w:rsidR="00245F6F" w:rsidRPr="006A5D70" w14:paraId="76516C00" w14:textId="77777777" w:rsidTr="006A5D70">
        <w:trPr>
          <w:trHeight w:val="70"/>
        </w:trPr>
        <w:tc>
          <w:tcPr>
            <w:tcW w:w="339" w:type="pct"/>
          </w:tcPr>
          <w:p w14:paraId="5A266D46" w14:textId="77777777" w:rsidR="00245F6F" w:rsidRPr="003F371A" w:rsidRDefault="00245F6F" w:rsidP="00245F6F">
            <w:pPr>
              <w:rPr>
                <w:sz w:val="22"/>
                <w:szCs w:val="22"/>
                <w:lang w:val="ro-RO"/>
              </w:rPr>
            </w:pPr>
            <w:r w:rsidRPr="003F371A">
              <w:rPr>
                <w:sz w:val="22"/>
                <w:szCs w:val="22"/>
                <w:lang w:val="ro-RO"/>
              </w:rPr>
              <w:t>Pct.</w:t>
            </w:r>
          </w:p>
          <w:p w14:paraId="4F57325F" w14:textId="41DA670F" w:rsidR="00245F6F" w:rsidRPr="003F371A" w:rsidRDefault="00245F6F" w:rsidP="00245F6F">
            <w:pPr>
              <w:rPr>
                <w:sz w:val="22"/>
                <w:szCs w:val="22"/>
                <w:lang w:val="ro-RO"/>
              </w:rPr>
            </w:pPr>
            <w:r w:rsidRPr="003F371A">
              <w:rPr>
                <w:sz w:val="22"/>
                <w:szCs w:val="22"/>
                <w:lang w:val="ro-RO"/>
              </w:rPr>
              <w:t>433</w:t>
            </w:r>
            <w:r w:rsidRPr="003F371A">
              <w:rPr>
                <w:sz w:val="22"/>
                <w:szCs w:val="22"/>
                <w:vertAlign w:val="superscript"/>
                <w:lang w:val="ro-RO"/>
              </w:rPr>
              <w:t>50</w:t>
            </w:r>
            <w:r>
              <w:rPr>
                <w:sz w:val="22"/>
                <w:szCs w:val="22"/>
                <w:lang w:val="ro-RO"/>
              </w:rPr>
              <w:t>, sub.2)</w:t>
            </w:r>
          </w:p>
        </w:tc>
        <w:tc>
          <w:tcPr>
            <w:tcW w:w="536" w:type="pct"/>
          </w:tcPr>
          <w:p w14:paraId="5F343EB3" w14:textId="77777777" w:rsidR="00245F6F" w:rsidRPr="006A5D70" w:rsidRDefault="00245F6F" w:rsidP="00245F6F">
            <w:pPr>
              <w:rPr>
                <w:sz w:val="22"/>
                <w:szCs w:val="22"/>
                <w:lang w:val="en-GB"/>
              </w:rPr>
            </w:pPr>
          </w:p>
        </w:tc>
        <w:tc>
          <w:tcPr>
            <w:tcW w:w="1528" w:type="pct"/>
          </w:tcPr>
          <w:p w14:paraId="622C3641" w14:textId="77777777" w:rsidR="00245F6F" w:rsidRPr="002E537D" w:rsidRDefault="00245F6F" w:rsidP="00245F6F">
            <w:pPr>
              <w:jc w:val="both"/>
              <w:rPr>
                <w:sz w:val="22"/>
                <w:szCs w:val="22"/>
                <w:lang w:val="ro-MD"/>
              </w:rPr>
            </w:pPr>
            <w:r w:rsidRPr="002E537D">
              <w:rPr>
                <w:sz w:val="22"/>
                <w:szCs w:val="22"/>
                <w:lang w:val="ro-MD"/>
              </w:rPr>
              <w:t>Mecanismul de stimulare:</w:t>
            </w:r>
          </w:p>
          <w:p w14:paraId="552A3EAB" w14:textId="77777777" w:rsidR="00245F6F" w:rsidRPr="002E537D" w:rsidRDefault="00245F6F" w:rsidP="00245F6F">
            <w:pPr>
              <w:ind w:firstLine="708"/>
              <w:jc w:val="both"/>
              <w:rPr>
                <w:sz w:val="22"/>
                <w:szCs w:val="22"/>
                <w:lang w:val="ro-MD"/>
              </w:rPr>
            </w:pPr>
            <w:r w:rsidRPr="002E537D">
              <w:rPr>
                <w:sz w:val="22"/>
                <w:szCs w:val="22"/>
                <w:lang w:val="ro-MD"/>
              </w:rPr>
              <w:t>1) se bazează pe performanța OST, prin intermediul plăților plafonate acordate acestuia în cazul unei performanțe excepționale și pretinse de la acesta în cazul unei performanțe insuficiente, măsurate în raport cu obiective de performanță prestabilite care pot include, printre altele, obiective privind costurile;</w:t>
            </w:r>
          </w:p>
          <w:p w14:paraId="72565136" w14:textId="79195B51" w:rsidR="00245F6F" w:rsidRPr="00E80DB2" w:rsidRDefault="00245F6F" w:rsidP="00E80DB2">
            <w:pPr>
              <w:ind w:firstLine="708"/>
              <w:jc w:val="both"/>
              <w:rPr>
                <w:sz w:val="22"/>
                <w:szCs w:val="22"/>
                <w:lang w:val="ro-MD"/>
              </w:rPr>
            </w:pPr>
            <w:r w:rsidRPr="002E537D">
              <w:rPr>
                <w:sz w:val="22"/>
                <w:szCs w:val="22"/>
                <w:lang w:val="ro-MD"/>
              </w:rPr>
              <w:t>2) prin intermediul plăților plafonate OST le are la dispoziție în vederea controlului performanței;</w:t>
            </w:r>
          </w:p>
        </w:tc>
        <w:tc>
          <w:tcPr>
            <w:tcW w:w="1537" w:type="pct"/>
          </w:tcPr>
          <w:p w14:paraId="2B4BDFB1" w14:textId="6C1E08E1" w:rsidR="00245F6F" w:rsidRPr="00E0423B" w:rsidRDefault="00245F6F" w:rsidP="00245F6F">
            <w:pPr>
              <w:jc w:val="both"/>
              <w:rPr>
                <w:sz w:val="22"/>
                <w:szCs w:val="22"/>
                <w:lang w:val="en-US"/>
              </w:rPr>
            </w:pPr>
            <w:r w:rsidRPr="00E0423B">
              <w:rPr>
                <w:sz w:val="22"/>
                <w:szCs w:val="22"/>
                <w:lang w:val="en-US"/>
              </w:rPr>
              <w:t>La pct. 433</w:t>
            </w:r>
            <w:r w:rsidRPr="00E0423B">
              <w:rPr>
                <w:sz w:val="22"/>
                <w:szCs w:val="22"/>
                <w:vertAlign w:val="superscript"/>
                <w:lang w:val="en-US"/>
              </w:rPr>
              <w:t>50</w:t>
            </w:r>
            <w:r w:rsidRPr="00E0423B">
              <w:rPr>
                <w:sz w:val="22"/>
                <w:szCs w:val="22"/>
                <w:lang w:val="en-US"/>
              </w:rPr>
              <w:t xml:space="preserve"> sbp. 2) textul „prin intermediul plăților plafonate OST le are la dispoziție în vederea co</w:t>
            </w:r>
            <w:r>
              <w:rPr>
                <w:sz w:val="22"/>
                <w:szCs w:val="22"/>
                <w:lang w:val="en-US"/>
              </w:rPr>
              <w:t xml:space="preserve">ntrolului performanței;” de </w:t>
            </w:r>
            <w:r w:rsidRPr="00E0423B">
              <w:rPr>
                <w:sz w:val="22"/>
                <w:szCs w:val="22"/>
                <w:lang w:val="en-US"/>
              </w:rPr>
              <w:t>substitui</w:t>
            </w:r>
            <w:r>
              <w:rPr>
                <w:sz w:val="22"/>
                <w:szCs w:val="22"/>
                <w:lang w:val="en-US"/>
              </w:rPr>
              <w:t>t</w:t>
            </w:r>
            <w:r w:rsidRPr="00E0423B">
              <w:rPr>
                <w:sz w:val="22"/>
                <w:szCs w:val="22"/>
                <w:lang w:val="en-US"/>
              </w:rPr>
              <w:t xml:space="preserve"> cu textul „ține seama de mijloacele pe care operatorul de sistem de transport le are la dispoziție în vederea controlului performanței;”, or art. 11 alin. (4) din Regulamentul (CE) NR. 312/2014 nu prevede plafonarea plăților.</w:t>
            </w:r>
          </w:p>
          <w:p w14:paraId="74766BF1" w14:textId="1A47B92A" w:rsidR="00245F6F" w:rsidRPr="006A5D70" w:rsidRDefault="00245F6F" w:rsidP="00245F6F">
            <w:pPr>
              <w:jc w:val="both"/>
              <w:rPr>
                <w:b/>
                <w:sz w:val="22"/>
                <w:szCs w:val="22"/>
                <w:lang w:val="ro-RO"/>
              </w:rPr>
            </w:pPr>
          </w:p>
        </w:tc>
        <w:tc>
          <w:tcPr>
            <w:cnfStyle w:val="000100000000" w:firstRow="0" w:lastRow="0" w:firstColumn="0" w:lastColumn="1" w:oddVBand="0" w:evenVBand="0" w:oddHBand="0" w:evenHBand="0" w:firstRowFirstColumn="0" w:firstRowLastColumn="0" w:lastRowFirstColumn="0" w:lastRowLastColumn="0"/>
            <w:tcW w:w="1060" w:type="pct"/>
          </w:tcPr>
          <w:p w14:paraId="7E17E8F8" w14:textId="78AC9C61" w:rsidR="00245F6F" w:rsidRPr="006A5D70" w:rsidRDefault="00E80DB2" w:rsidP="00245F6F">
            <w:pPr>
              <w:jc w:val="both"/>
              <w:rPr>
                <w:sz w:val="22"/>
                <w:szCs w:val="22"/>
                <w:highlight w:val="yellow"/>
                <w:lang w:val="ro-MD"/>
              </w:rPr>
            </w:pPr>
            <w:r w:rsidRPr="00D03862">
              <w:rPr>
                <w:sz w:val="22"/>
                <w:szCs w:val="22"/>
                <w:lang w:val="ro-MD"/>
              </w:rPr>
              <w:t>Se acceptă</w:t>
            </w:r>
          </w:p>
        </w:tc>
      </w:tr>
      <w:tr w:rsidR="00245F6F" w:rsidRPr="006A5D70" w14:paraId="221256CC" w14:textId="77777777" w:rsidTr="006A5D70">
        <w:trPr>
          <w:trHeight w:val="70"/>
        </w:trPr>
        <w:tc>
          <w:tcPr>
            <w:tcW w:w="339" w:type="pct"/>
          </w:tcPr>
          <w:p w14:paraId="24DB80D6" w14:textId="77777777" w:rsidR="00245F6F" w:rsidRPr="003F371A" w:rsidRDefault="00245F6F" w:rsidP="00245F6F">
            <w:pPr>
              <w:rPr>
                <w:sz w:val="22"/>
                <w:szCs w:val="22"/>
                <w:lang w:val="ro-RO"/>
              </w:rPr>
            </w:pPr>
            <w:r w:rsidRPr="003F371A">
              <w:rPr>
                <w:sz w:val="22"/>
                <w:szCs w:val="22"/>
                <w:lang w:val="ro-RO"/>
              </w:rPr>
              <w:t>Pct.</w:t>
            </w:r>
          </w:p>
          <w:p w14:paraId="08DEBFDC" w14:textId="349BDAC6" w:rsidR="00245F6F" w:rsidRPr="006A5D70" w:rsidRDefault="00245F6F" w:rsidP="00245F6F">
            <w:pPr>
              <w:rPr>
                <w:b/>
                <w:sz w:val="22"/>
                <w:szCs w:val="22"/>
                <w:lang w:val="ro-RO"/>
              </w:rPr>
            </w:pPr>
            <w:r w:rsidRPr="003F371A">
              <w:rPr>
                <w:sz w:val="22"/>
                <w:szCs w:val="22"/>
                <w:lang w:val="ro-RO"/>
              </w:rPr>
              <w:t>433</w:t>
            </w:r>
            <w:r>
              <w:rPr>
                <w:sz w:val="22"/>
                <w:szCs w:val="22"/>
                <w:vertAlign w:val="superscript"/>
                <w:lang w:val="ro-RO"/>
              </w:rPr>
              <w:t>75</w:t>
            </w:r>
          </w:p>
        </w:tc>
        <w:tc>
          <w:tcPr>
            <w:tcW w:w="536" w:type="pct"/>
          </w:tcPr>
          <w:p w14:paraId="64730BEC" w14:textId="77777777" w:rsidR="00245F6F" w:rsidRPr="006A5D70" w:rsidRDefault="00245F6F" w:rsidP="00245F6F">
            <w:pPr>
              <w:rPr>
                <w:sz w:val="22"/>
                <w:szCs w:val="22"/>
                <w:lang w:val="en-GB"/>
              </w:rPr>
            </w:pPr>
          </w:p>
        </w:tc>
        <w:tc>
          <w:tcPr>
            <w:tcW w:w="1528" w:type="pct"/>
          </w:tcPr>
          <w:p w14:paraId="2C9D54FF" w14:textId="05182C0C" w:rsidR="00245F6F" w:rsidRPr="002E537D" w:rsidRDefault="00245F6F" w:rsidP="00245F6F">
            <w:pPr>
              <w:pStyle w:val="NormalWeb"/>
              <w:tabs>
                <w:tab w:val="left" w:pos="851"/>
              </w:tabs>
              <w:ind w:firstLine="0"/>
              <w:rPr>
                <w:bCs/>
                <w:color w:val="000000"/>
                <w:sz w:val="22"/>
                <w:szCs w:val="22"/>
                <w:lang w:val="ro-MD"/>
              </w:rPr>
            </w:pPr>
            <w:r w:rsidRPr="002E537D">
              <w:rPr>
                <w:sz w:val="22"/>
                <w:szCs w:val="22"/>
                <w:lang w:val="ro-MD"/>
              </w:rPr>
              <w:t>Plata pentru dezechilibru zilnic reflectă costurile și ține cont de prețurile aferente acțiunilor de echilibrare ale OST, dacă acestea există.</w:t>
            </w:r>
          </w:p>
        </w:tc>
        <w:tc>
          <w:tcPr>
            <w:tcW w:w="1537" w:type="pct"/>
          </w:tcPr>
          <w:p w14:paraId="2AD28292" w14:textId="60524B19" w:rsidR="00245F6F" w:rsidRPr="005448F3" w:rsidRDefault="00245F6F" w:rsidP="00245F6F">
            <w:pPr>
              <w:jc w:val="both"/>
              <w:rPr>
                <w:sz w:val="22"/>
                <w:szCs w:val="22"/>
                <w:lang w:val="en-US"/>
              </w:rPr>
            </w:pPr>
            <w:r w:rsidRPr="00E0423B">
              <w:rPr>
                <w:sz w:val="22"/>
                <w:szCs w:val="22"/>
                <w:lang w:val="en-US"/>
              </w:rPr>
              <w:t>Pct. 433</w:t>
            </w:r>
            <w:r w:rsidRPr="00E0423B">
              <w:rPr>
                <w:sz w:val="22"/>
                <w:szCs w:val="22"/>
                <w:vertAlign w:val="superscript"/>
                <w:lang w:val="en-US"/>
              </w:rPr>
              <w:t>75</w:t>
            </w:r>
            <w:r w:rsidRPr="00E0423B">
              <w:rPr>
                <w:sz w:val="22"/>
                <w:szCs w:val="22"/>
                <w:lang w:val="en-US"/>
              </w:rPr>
              <w:t xml:space="preserve"> urmează a fi corelat cu art. 22 alin. (6) din Regulamentul (CE) NR. 312/2014, care face referire la ajustarea minoră menționată. </w:t>
            </w:r>
          </w:p>
        </w:tc>
        <w:tc>
          <w:tcPr>
            <w:cnfStyle w:val="000100000000" w:firstRow="0" w:lastRow="0" w:firstColumn="0" w:lastColumn="1" w:oddVBand="0" w:evenVBand="0" w:oddHBand="0" w:evenHBand="0" w:firstRowFirstColumn="0" w:firstRowLastColumn="0" w:lastRowFirstColumn="0" w:lastRowLastColumn="0"/>
            <w:tcW w:w="1060" w:type="pct"/>
          </w:tcPr>
          <w:p w14:paraId="68E7DCE6" w14:textId="6D1A214E" w:rsidR="00245F6F" w:rsidRPr="006A5D70" w:rsidRDefault="00E80DB2" w:rsidP="00245F6F">
            <w:pPr>
              <w:jc w:val="both"/>
              <w:rPr>
                <w:sz w:val="22"/>
                <w:szCs w:val="22"/>
                <w:highlight w:val="yellow"/>
                <w:lang w:val="ro-MD"/>
              </w:rPr>
            </w:pPr>
            <w:r w:rsidRPr="00D03862">
              <w:rPr>
                <w:sz w:val="22"/>
                <w:szCs w:val="22"/>
                <w:lang w:val="ro-MD"/>
              </w:rPr>
              <w:t>Se acceptă</w:t>
            </w:r>
          </w:p>
        </w:tc>
      </w:tr>
      <w:tr w:rsidR="00245F6F" w:rsidRPr="006A5D70" w14:paraId="5371AB96" w14:textId="77777777" w:rsidTr="006A5D70">
        <w:trPr>
          <w:trHeight w:val="70"/>
        </w:trPr>
        <w:tc>
          <w:tcPr>
            <w:tcW w:w="339" w:type="pct"/>
          </w:tcPr>
          <w:p w14:paraId="16566F72" w14:textId="77777777" w:rsidR="00245F6F" w:rsidRPr="003F371A" w:rsidRDefault="00245F6F" w:rsidP="00245F6F">
            <w:pPr>
              <w:rPr>
                <w:sz w:val="22"/>
                <w:szCs w:val="22"/>
                <w:lang w:val="ro-RO"/>
              </w:rPr>
            </w:pPr>
            <w:r w:rsidRPr="003F371A">
              <w:rPr>
                <w:sz w:val="22"/>
                <w:szCs w:val="22"/>
                <w:lang w:val="ro-RO"/>
              </w:rPr>
              <w:t>Pct.</w:t>
            </w:r>
          </w:p>
          <w:p w14:paraId="2E13FC41" w14:textId="58461364" w:rsidR="00245F6F" w:rsidRPr="006A5D70" w:rsidRDefault="00245F6F" w:rsidP="00245F6F">
            <w:pPr>
              <w:rPr>
                <w:b/>
                <w:sz w:val="22"/>
                <w:szCs w:val="22"/>
                <w:lang w:val="ro-RO"/>
              </w:rPr>
            </w:pPr>
            <w:r w:rsidRPr="003F371A">
              <w:rPr>
                <w:sz w:val="22"/>
                <w:szCs w:val="22"/>
                <w:lang w:val="ro-RO"/>
              </w:rPr>
              <w:t>433</w:t>
            </w:r>
            <w:r>
              <w:rPr>
                <w:sz w:val="22"/>
                <w:szCs w:val="22"/>
                <w:vertAlign w:val="superscript"/>
                <w:lang w:val="ro-RO"/>
              </w:rPr>
              <w:t>80</w:t>
            </w:r>
          </w:p>
        </w:tc>
        <w:tc>
          <w:tcPr>
            <w:tcW w:w="536" w:type="pct"/>
          </w:tcPr>
          <w:p w14:paraId="4FC12759" w14:textId="77777777" w:rsidR="00245F6F" w:rsidRPr="006A5D70" w:rsidRDefault="00245F6F" w:rsidP="00245F6F">
            <w:pPr>
              <w:rPr>
                <w:sz w:val="22"/>
                <w:szCs w:val="22"/>
                <w:lang w:val="en-GB"/>
              </w:rPr>
            </w:pPr>
          </w:p>
        </w:tc>
        <w:tc>
          <w:tcPr>
            <w:tcW w:w="1528" w:type="pct"/>
          </w:tcPr>
          <w:p w14:paraId="00E18862" w14:textId="77777777" w:rsidR="00245F6F" w:rsidRPr="002E537D" w:rsidRDefault="00245F6F" w:rsidP="00245F6F">
            <w:pPr>
              <w:jc w:val="both"/>
              <w:rPr>
                <w:sz w:val="22"/>
                <w:szCs w:val="22"/>
                <w:lang w:val="ro-MD"/>
              </w:rPr>
            </w:pPr>
            <w:r w:rsidRPr="002E537D">
              <w:rPr>
                <w:sz w:val="22"/>
                <w:szCs w:val="22"/>
                <w:lang w:val="ro-MD"/>
              </w:rPr>
              <w:t>Calcularea cantității de dezechilibru zilnic se adaptează în consecință în cazul în care:</w:t>
            </w:r>
          </w:p>
          <w:p w14:paraId="6739BCB0" w14:textId="04632B0B" w:rsidR="00245F6F" w:rsidRPr="002E537D" w:rsidRDefault="00245F6F" w:rsidP="00245F6F">
            <w:pPr>
              <w:jc w:val="both"/>
              <w:rPr>
                <w:sz w:val="22"/>
                <w:szCs w:val="22"/>
                <w:lang w:val="ro-MD"/>
              </w:rPr>
            </w:pPr>
            <w:r w:rsidRPr="002E537D">
              <w:rPr>
                <w:sz w:val="22"/>
                <w:szCs w:val="22"/>
                <w:lang w:val="ro-MD"/>
              </w:rPr>
              <w:t>1) se oferă un serviciu de flexibilitate prin stocare în conductă; și/sau</w:t>
            </w:r>
          </w:p>
          <w:p w14:paraId="400F6416" w14:textId="77777777" w:rsidR="00245F6F" w:rsidRPr="006A5D70" w:rsidRDefault="00245F6F" w:rsidP="00245F6F">
            <w:pPr>
              <w:rPr>
                <w:bCs/>
                <w:color w:val="000000"/>
                <w:sz w:val="22"/>
                <w:szCs w:val="22"/>
                <w:lang w:val="ro-MD"/>
              </w:rPr>
            </w:pPr>
          </w:p>
        </w:tc>
        <w:tc>
          <w:tcPr>
            <w:tcW w:w="1537" w:type="pct"/>
          </w:tcPr>
          <w:p w14:paraId="543E549E" w14:textId="0065654F" w:rsidR="00245F6F" w:rsidRPr="00E0423B" w:rsidRDefault="00245F6F" w:rsidP="00245F6F">
            <w:pPr>
              <w:tabs>
                <w:tab w:val="left" w:pos="851"/>
              </w:tabs>
              <w:jc w:val="both"/>
              <w:rPr>
                <w:sz w:val="22"/>
                <w:szCs w:val="22"/>
                <w:lang w:val="en-US"/>
              </w:rPr>
            </w:pPr>
            <w:r w:rsidRPr="00E0423B">
              <w:rPr>
                <w:sz w:val="22"/>
                <w:szCs w:val="22"/>
                <w:lang w:val="en-US"/>
              </w:rPr>
              <w:t>La pct. 433</w:t>
            </w:r>
            <w:r w:rsidRPr="00E0423B">
              <w:rPr>
                <w:sz w:val="22"/>
                <w:szCs w:val="22"/>
                <w:vertAlign w:val="superscript"/>
                <w:lang w:val="en-US"/>
              </w:rPr>
              <w:t>80</w:t>
            </w:r>
            <w:r w:rsidRPr="00E0423B">
              <w:rPr>
                <w:sz w:val="22"/>
                <w:szCs w:val="22"/>
                <w:lang w:val="en-US"/>
              </w:rPr>
              <w:t xml:space="preserve"> după sbp. 1) textul „și/sau” </w:t>
            </w:r>
            <w:r>
              <w:rPr>
                <w:sz w:val="22"/>
                <w:szCs w:val="22"/>
                <w:lang w:val="en-US"/>
              </w:rPr>
              <w:t xml:space="preserve">de </w:t>
            </w:r>
            <w:r w:rsidRPr="00E0423B">
              <w:rPr>
                <w:sz w:val="22"/>
                <w:szCs w:val="22"/>
                <w:lang w:val="en-US"/>
              </w:rPr>
              <w:t>exclud</w:t>
            </w:r>
            <w:r>
              <w:rPr>
                <w:sz w:val="22"/>
                <w:szCs w:val="22"/>
                <w:lang w:val="en-US"/>
              </w:rPr>
              <w:t>s</w:t>
            </w:r>
            <w:r w:rsidRPr="00E0423B">
              <w:rPr>
                <w:sz w:val="22"/>
                <w:szCs w:val="22"/>
                <w:lang w:val="en-US"/>
              </w:rPr>
              <w:t>. Totodată, se va ține cont că, folosirea combinației „și/sau” nu este suficient de clară motiv pentru care se va evita utilizarea acesteia. Astfel, în cazul în care nu contează dacă condiția trebuie întrunită cumulativ sau alternativ, atunci este bine ca și acest aspect să rezulte clar.</w:t>
            </w:r>
          </w:p>
          <w:p w14:paraId="297F8945" w14:textId="77777777" w:rsidR="00245F6F" w:rsidRPr="006A5D70" w:rsidRDefault="00245F6F" w:rsidP="00245F6F">
            <w:pPr>
              <w:jc w:val="both"/>
              <w:rPr>
                <w:b/>
                <w:sz w:val="22"/>
                <w:szCs w:val="22"/>
                <w:lang w:val="ro-RO"/>
              </w:rPr>
            </w:pPr>
          </w:p>
        </w:tc>
        <w:tc>
          <w:tcPr>
            <w:cnfStyle w:val="000100000000" w:firstRow="0" w:lastRow="0" w:firstColumn="0" w:lastColumn="1" w:oddVBand="0" w:evenVBand="0" w:oddHBand="0" w:evenHBand="0" w:firstRowFirstColumn="0" w:firstRowLastColumn="0" w:lastRowFirstColumn="0" w:lastRowLastColumn="0"/>
            <w:tcW w:w="1060" w:type="pct"/>
          </w:tcPr>
          <w:p w14:paraId="1CC1D769" w14:textId="2C0446AB" w:rsidR="00245F6F" w:rsidRPr="006A5D70" w:rsidRDefault="00E80DB2" w:rsidP="00245F6F">
            <w:pPr>
              <w:jc w:val="both"/>
              <w:rPr>
                <w:sz w:val="22"/>
                <w:szCs w:val="22"/>
                <w:highlight w:val="yellow"/>
                <w:lang w:val="ro-MD"/>
              </w:rPr>
            </w:pPr>
            <w:r w:rsidRPr="00D03862">
              <w:rPr>
                <w:sz w:val="22"/>
                <w:szCs w:val="22"/>
                <w:lang w:val="ro-MD"/>
              </w:rPr>
              <w:t>Se acceptă</w:t>
            </w:r>
          </w:p>
        </w:tc>
      </w:tr>
      <w:tr w:rsidR="00245F6F" w:rsidRPr="006A5D70" w14:paraId="3729483F" w14:textId="77777777" w:rsidTr="006A5D70">
        <w:trPr>
          <w:trHeight w:val="70"/>
        </w:trPr>
        <w:tc>
          <w:tcPr>
            <w:tcW w:w="339" w:type="pct"/>
          </w:tcPr>
          <w:p w14:paraId="1DF6DA9B" w14:textId="77777777" w:rsidR="00245F6F" w:rsidRPr="003F371A" w:rsidRDefault="00245F6F" w:rsidP="00245F6F">
            <w:pPr>
              <w:rPr>
                <w:sz w:val="22"/>
                <w:szCs w:val="22"/>
                <w:lang w:val="ro-RO"/>
              </w:rPr>
            </w:pPr>
            <w:r w:rsidRPr="003F371A">
              <w:rPr>
                <w:sz w:val="22"/>
                <w:szCs w:val="22"/>
                <w:lang w:val="ro-RO"/>
              </w:rPr>
              <w:lastRenderedPageBreak/>
              <w:t>Pct.</w:t>
            </w:r>
          </w:p>
          <w:p w14:paraId="5406C988" w14:textId="0F1CFF11" w:rsidR="00245F6F" w:rsidRPr="006A5D70" w:rsidRDefault="00245F6F" w:rsidP="00245F6F">
            <w:pPr>
              <w:rPr>
                <w:b/>
                <w:sz w:val="22"/>
                <w:szCs w:val="22"/>
                <w:lang w:val="ro-RO"/>
              </w:rPr>
            </w:pPr>
            <w:r w:rsidRPr="003F371A">
              <w:rPr>
                <w:sz w:val="22"/>
                <w:szCs w:val="22"/>
                <w:lang w:val="ro-RO"/>
              </w:rPr>
              <w:t>433</w:t>
            </w:r>
            <w:r w:rsidRPr="003F371A">
              <w:rPr>
                <w:sz w:val="22"/>
                <w:szCs w:val="22"/>
                <w:vertAlign w:val="superscript"/>
                <w:lang w:val="ro-RO"/>
              </w:rPr>
              <w:t>8</w:t>
            </w:r>
            <w:r>
              <w:rPr>
                <w:sz w:val="22"/>
                <w:szCs w:val="22"/>
                <w:vertAlign w:val="superscript"/>
                <w:lang w:val="ro-RO"/>
              </w:rPr>
              <w:t>6</w:t>
            </w:r>
            <w:r>
              <w:rPr>
                <w:sz w:val="22"/>
                <w:szCs w:val="22"/>
                <w:lang w:val="ro-RO"/>
              </w:rPr>
              <w:t>,</w:t>
            </w:r>
          </w:p>
        </w:tc>
        <w:tc>
          <w:tcPr>
            <w:tcW w:w="536" w:type="pct"/>
          </w:tcPr>
          <w:p w14:paraId="236E4831" w14:textId="77777777" w:rsidR="00245F6F" w:rsidRPr="006A5D70" w:rsidRDefault="00245F6F" w:rsidP="00245F6F">
            <w:pPr>
              <w:rPr>
                <w:sz w:val="22"/>
                <w:szCs w:val="22"/>
                <w:lang w:val="en-GB"/>
              </w:rPr>
            </w:pPr>
          </w:p>
        </w:tc>
        <w:tc>
          <w:tcPr>
            <w:tcW w:w="1528" w:type="pct"/>
          </w:tcPr>
          <w:p w14:paraId="7742162C" w14:textId="77777777" w:rsidR="00245F6F" w:rsidRPr="002E537D" w:rsidRDefault="00245F6F" w:rsidP="00245F6F">
            <w:pPr>
              <w:jc w:val="both"/>
              <w:rPr>
                <w:sz w:val="22"/>
                <w:szCs w:val="22"/>
                <w:lang w:val="ro-MD"/>
              </w:rPr>
            </w:pPr>
            <w:r w:rsidRPr="002E537D">
              <w:rPr>
                <w:sz w:val="22"/>
                <w:szCs w:val="22"/>
                <w:lang w:val="ro-MD"/>
              </w:rPr>
              <w:t>Prețul marginal</w:t>
            </w:r>
            <w:r w:rsidRPr="002E537D">
              <w:rPr>
                <w:i/>
                <w:sz w:val="22"/>
                <w:szCs w:val="22"/>
                <w:lang w:val="ro-MD"/>
              </w:rPr>
              <w:t xml:space="preserve"> </w:t>
            </w:r>
            <w:r w:rsidRPr="002E537D">
              <w:rPr>
                <w:sz w:val="22"/>
                <w:szCs w:val="22"/>
                <w:lang w:val="ro-MD"/>
              </w:rPr>
              <w:t>de vânzare și prețul marginal</w:t>
            </w:r>
            <w:r w:rsidRPr="002E537D">
              <w:rPr>
                <w:i/>
                <w:sz w:val="22"/>
                <w:szCs w:val="22"/>
                <w:lang w:val="ro-MD"/>
              </w:rPr>
              <w:t xml:space="preserve"> </w:t>
            </w:r>
            <w:r w:rsidRPr="002E537D">
              <w:rPr>
                <w:sz w:val="22"/>
                <w:szCs w:val="22"/>
                <w:lang w:val="ro-MD"/>
              </w:rPr>
              <w:t>de cumpărare se calculează pentru fiecare zi gazieră astfel:</w:t>
            </w:r>
          </w:p>
          <w:p w14:paraId="3D599271" w14:textId="77777777" w:rsidR="00245F6F" w:rsidRPr="002E537D" w:rsidRDefault="00245F6F" w:rsidP="00245F6F">
            <w:pPr>
              <w:jc w:val="both"/>
              <w:outlineLvl w:val="0"/>
              <w:rPr>
                <w:sz w:val="22"/>
                <w:szCs w:val="22"/>
                <w:lang w:val="ro-MD"/>
              </w:rPr>
            </w:pPr>
            <w:r w:rsidRPr="002E537D">
              <w:rPr>
                <w:sz w:val="22"/>
                <w:szCs w:val="22"/>
                <w:lang w:val="ro-MD"/>
              </w:rPr>
              <w:t>1) un preț marginal</w:t>
            </w:r>
            <w:r w:rsidRPr="002E537D">
              <w:rPr>
                <w:i/>
                <w:sz w:val="22"/>
                <w:szCs w:val="22"/>
                <w:lang w:val="ro-MD"/>
              </w:rPr>
              <w:t xml:space="preserve"> </w:t>
            </w:r>
            <w:r w:rsidRPr="002E537D">
              <w:rPr>
                <w:sz w:val="22"/>
                <w:szCs w:val="22"/>
                <w:lang w:val="ro-MD"/>
              </w:rPr>
              <w:t>de vânzare este cea mai mică valoare dintre:</w:t>
            </w:r>
          </w:p>
          <w:p w14:paraId="3053C7A7" w14:textId="77777777" w:rsidR="00245F6F" w:rsidRPr="002E537D" w:rsidRDefault="00245F6F" w:rsidP="00245F6F">
            <w:pPr>
              <w:jc w:val="both"/>
              <w:rPr>
                <w:sz w:val="22"/>
                <w:szCs w:val="22"/>
                <w:lang w:val="ro-MD"/>
              </w:rPr>
            </w:pPr>
            <w:r w:rsidRPr="002E537D">
              <w:rPr>
                <w:sz w:val="22"/>
                <w:szCs w:val="22"/>
                <w:lang w:val="ro-MD"/>
              </w:rPr>
              <w:t>a) cel mai mic preţ al oricăror vânzări de gaze naturale utilizate în scop de echilibrare ale OST/EE la PVT, în raport cu ziua gazieră; sau</w:t>
            </w:r>
          </w:p>
          <w:p w14:paraId="191F19E7" w14:textId="77777777" w:rsidR="00245F6F" w:rsidRPr="002E537D" w:rsidRDefault="00245F6F" w:rsidP="00245F6F">
            <w:pPr>
              <w:jc w:val="both"/>
              <w:rPr>
                <w:color w:val="1F497D" w:themeColor="text2"/>
                <w:sz w:val="22"/>
                <w:szCs w:val="22"/>
                <w:lang w:val="ro-MD"/>
              </w:rPr>
            </w:pPr>
            <w:r w:rsidRPr="002E537D">
              <w:rPr>
                <w:color w:val="000000" w:themeColor="text1"/>
                <w:sz w:val="22"/>
                <w:szCs w:val="22"/>
                <w:lang w:val="ro-MD"/>
              </w:rPr>
              <w:t>b) preţul de referinţă înmulţit cu coeficientul 0,9;</w:t>
            </w:r>
          </w:p>
          <w:p w14:paraId="59316A4A" w14:textId="77777777" w:rsidR="00245F6F" w:rsidRPr="002E537D" w:rsidRDefault="00245F6F" w:rsidP="00245F6F">
            <w:pPr>
              <w:jc w:val="both"/>
              <w:outlineLvl w:val="0"/>
              <w:rPr>
                <w:sz w:val="22"/>
                <w:szCs w:val="22"/>
                <w:lang w:val="ro-MD"/>
              </w:rPr>
            </w:pPr>
            <w:r w:rsidRPr="002E537D">
              <w:rPr>
                <w:sz w:val="22"/>
                <w:szCs w:val="22"/>
                <w:lang w:val="ro-MD"/>
              </w:rPr>
              <w:t>2) un preț marginal de cumpărare este cea mai mare valoare dintre:</w:t>
            </w:r>
          </w:p>
          <w:p w14:paraId="57C77BA3" w14:textId="77777777" w:rsidR="00245F6F" w:rsidRPr="002E537D" w:rsidRDefault="00245F6F" w:rsidP="00245F6F">
            <w:pPr>
              <w:jc w:val="both"/>
              <w:rPr>
                <w:sz w:val="22"/>
                <w:szCs w:val="22"/>
                <w:lang w:val="ro-MD"/>
              </w:rPr>
            </w:pPr>
            <w:r w:rsidRPr="002E537D">
              <w:rPr>
                <w:sz w:val="22"/>
                <w:szCs w:val="22"/>
                <w:lang w:val="ro-MD"/>
              </w:rPr>
              <w:t>a)</w:t>
            </w:r>
            <w:r w:rsidRPr="002E537D">
              <w:rPr>
                <w:i/>
                <w:sz w:val="22"/>
                <w:szCs w:val="22"/>
                <w:lang w:val="ro-MD"/>
              </w:rPr>
              <w:t xml:space="preserve"> </w:t>
            </w:r>
            <w:r w:rsidRPr="002E537D">
              <w:rPr>
                <w:sz w:val="22"/>
                <w:szCs w:val="22"/>
                <w:lang w:val="ro-MD"/>
              </w:rPr>
              <w:t>cel mai mare preţ al oricăror achiziţii de gaze naturale de echilibrare în scopul de echilibrare ale OST/EE la PVT în raport cu ziua gazieră; sau</w:t>
            </w:r>
          </w:p>
          <w:p w14:paraId="58D434D9" w14:textId="79A58FCB" w:rsidR="00245F6F" w:rsidRPr="005448F3" w:rsidRDefault="00245F6F" w:rsidP="005448F3">
            <w:pPr>
              <w:jc w:val="both"/>
              <w:rPr>
                <w:color w:val="1F497D" w:themeColor="text2"/>
                <w:sz w:val="22"/>
                <w:szCs w:val="22"/>
                <w:lang w:val="ro-MD"/>
              </w:rPr>
            </w:pPr>
            <w:r w:rsidRPr="002E537D">
              <w:rPr>
                <w:color w:val="000000" w:themeColor="text1"/>
                <w:sz w:val="22"/>
                <w:szCs w:val="22"/>
                <w:lang w:val="ro-MD"/>
              </w:rPr>
              <w:t>b) preţul de referinţă înmulţit cu coeficientul 1,1</w:t>
            </w:r>
            <w:r w:rsidRPr="002E537D">
              <w:rPr>
                <w:color w:val="1F497D" w:themeColor="text2"/>
                <w:sz w:val="22"/>
                <w:szCs w:val="22"/>
                <w:lang w:val="ro-MD"/>
              </w:rPr>
              <w:t>.</w:t>
            </w:r>
          </w:p>
        </w:tc>
        <w:tc>
          <w:tcPr>
            <w:tcW w:w="1537" w:type="pct"/>
          </w:tcPr>
          <w:p w14:paraId="06048152" w14:textId="5E045E7E" w:rsidR="00245F6F" w:rsidRPr="005448F3" w:rsidRDefault="00245F6F" w:rsidP="00245F6F">
            <w:pPr>
              <w:jc w:val="both"/>
              <w:rPr>
                <w:sz w:val="22"/>
                <w:szCs w:val="22"/>
                <w:lang w:val="en-US"/>
              </w:rPr>
            </w:pPr>
            <w:r w:rsidRPr="005448F3">
              <w:rPr>
                <w:sz w:val="22"/>
                <w:szCs w:val="22"/>
                <w:lang w:val="en-US"/>
              </w:rPr>
              <w:t>Modalitatea de calcul al prețului marginal de vânzare și prețul marginal de cumpărare prevăzută la pct. 433</w:t>
            </w:r>
            <w:r w:rsidRPr="005448F3">
              <w:rPr>
                <w:sz w:val="22"/>
                <w:szCs w:val="22"/>
                <w:vertAlign w:val="superscript"/>
                <w:lang w:val="en-US"/>
              </w:rPr>
              <w:t xml:space="preserve">86 </w:t>
            </w:r>
            <w:r w:rsidRPr="005448F3">
              <w:rPr>
                <w:sz w:val="22"/>
                <w:szCs w:val="22"/>
                <w:lang w:val="en-US"/>
              </w:rPr>
              <w:t>trebuie să corespundă principiilor prevăzute la art. 22 alin. (2) din Regulamentul (CE) NR. 312/2014.</w:t>
            </w:r>
          </w:p>
          <w:p w14:paraId="5FFC59BF" w14:textId="77777777" w:rsidR="00245F6F" w:rsidRPr="005448F3" w:rsidRDefault="00245F6F" w:rsidP="00E80DB2">
            <w:pPr>
              <w:jc w:val="both"/>
              <w:rPr>
                <w:b/>
                <w:sz w:val="22"/>
                <w:szCs w:val="22"/>
                <w:lang w:val="ro-RO"/>
              </w:rPr>
            </w:pPr>
          </w:p>
        </w:tc>
        <w:tc>
          <w:tcPr>
            <w:cnfStyle w:val="000100000000" w:firstRow="0" w:lastRow="0" w:firstColumn="0" w:lastColumn="1" w:oddVBand="0" w:evenVBand="0" w:oddHBand="0" w:evenHBand="0" w:firstRowFirstColumn="0" w:firstRowLastColumn="0" w:lastRowFirstColumn="0" w:lastRowLastColumn="0"/>
            <w:tcW w:w="1060" w:type="pct"/>
          </w:tcPr>
          <w:p w14:paraId="6F0BEA52" w14:textId="6DCB9FA2" w:rsidR="00245F6F" w:rsidRPr="005448F3" w:rsidRDefault="005448F3" w:rsidP="00575BB2">
            <w:pPr>
              <w:jc w:val="both"/>
              <w:rPr>
                <w:sz w:val="22"/>
                <w:szCs w:val="22"/>
                <w:lang w:val="ro-MD"/>
              </w:rPr>
            </w:pPr>
            <w:r w:rsidRPr="005448F3">
              <w:rPr>
                <w:sz w:val="22"/>
                <w:szCs w:val="22"/>
                <w:lang w:val="ro-MD"/>
              </w:rPr>
              <w:t>Se acceptă.</w:t>
            </w:r>
          </w:p>
        </w:tc>
      </w:tr>
      <w:tr w:rsidR="00245F6F" w:rsidRPr="00511A6A" w14:paraId="4F0FB4C2" w14:textId="77777777" w:rsidTr="006A5D70">
        <w:trPr>
          <w:trHeight w:val="70"/>
        </w:trPr>
        <w:tc>
          <w:tcPr>
            <w:tcW w:w="339" w:type="pct"/>
          </w:tcPr>
          <w:p w14:paraId="6507753D" w14:textId="77777777" w:rsidR="00245F6F" w:rsidRPr="003F371A" w:rsidRDefault="00245F6F" w:rsidP="00245F6F">
            <w:pPr>
              <w:rPr>
                <w:sz w:val="22"/>
                <w:szCs w:val="22"/>
                <w:lang w:val="ro-RO"/>
              </w:rPr>
            </w:pPr>
            <w:r w:rsidRPr="003F371A">
              <w:rPr>
                <w:sz w:val="22"/>
                <w:szCs w:val="22"/>
                <w:lang w:val="ro-RO"/>
              </w:rPr>
              <w:t>Pct.</w:t>
            </w:r>
          </w:p>
          <w:p w14:paraId="69B3B935" w14:textId="76959C47" w:rsidR="00245F6F" w:rsidRPr="006A5D70" w:rsidRDefault="00245F6F" w:rsidP="00245F6F">
            <w:pPr>
              <w:rPr>
                <w:b/>
                <w:sz w:val="22"/>
                <w:szCs w:val="22"/>
                <w:lang w:val="ro-RO"/>
              </w:rPr>
            </w:pPr>
            <w:r w:rsidRPr="003F371A">
              <w:rPr>
                <w:sz w:val="22"/>
                <w:szCs w:val="22"/>
                <w:lang w:val="ro-RO"/>
              </w:rPr>
              <w:t>433</w:t>
            </w:r>
            <w:r>
              <w:rPr>
                <w:sz w:val="22"/>
                <w:szCs w:val="22"/>
                <w:vertAlign w:val="superscript"/>
                <w:lang w:val="ro-RO"/>
              </w:rPr>
              <w:t>95</w:t>
            </w:r>
          </w:p>
        </w:tc>
        <w:tc>
          <w:tcPr>
            <w:tcW w:w="536" w:type="pct"/>
          </w:tcPr>
          <w:p w14:paraId="2ED50A23" w14:textId="77777777" w:rsidR="00245F6F" w:rsidRPr="006A5D70" w:rsidRDefault="00245F6F" w:rsidP="00245F6F">
            <w:pPr>
              <w:rPr>
                <w:sz w:val="22"/>
                <w:szCs w:val="22"/>
                <w:lang w:val="en-GB"/>
              </w:rPr>
            </w:pPr>
          </w:p>
        </w:tc>
        <w:tc>
          <w:tcPr>
            <w:tcW w:w="1528" w:type="pct"/>
          </w:tcPr>
          <w:p w14:paraId="2234CCDA" w14:textId="77777777" w:rsidR="00245F6F" w:rsidRPr="002E537D" w:rsidRDefault="00245F6F" w:rsidP="00245F6F">
            <w:pPr>
              <w:jc w:val="both"/>
              <w:rPr>
                <w:sz w:val="22"/>
                <w:szCs w:val="22"/>
                <w:lang w:val="ro-MD"/>
              </w:rPr>
            </w:pPr>
            <w:r w:rsidRPr="002E537D">
              <w:rPr>
                <w:sz w:val="22"/>
                <w:szCs w:val="22"/>
                <w:lang w:val="ro-MD"/>
              </w:rPr>
              <w:t>Orice obligație intrazilnică trebuie să îndeplinească următoarele criterii:</w:t>
            </w:r>
          </w:p>
          <w:p w14:paraId="3DF2A487" w14:textId="2F5AF4DD" w:rsidR="00245F6F" w:rsidRPr="00DC7A33" w:rsidRDefault="00245F6F" w:rsidP="00DC7A33">
            <w:pPr>
              <w:jc w:val="both"/>
              <w:rPr>
                <w:sz w:val="22"/>
                <w:szCs w:val="22"/>
                <w:lang w:val="ro-MD"/>
              </w:rPr>
            </w:pPr>
            <w:r w:rsidRPr="002E537D">
              <w:rPr>
                <w:sz w:val="22"/>
                <w:szCs w:val="22"/>
                <w:lang w:val="ro-MD"/>
              </w:rPr>
              <w:t xml:space="preserve">1) o obligație intrazilnică și plata aferentă, dacă aceasta există, nu creează bariere nejustificate în calea comerțului transfrontalier și a intrării pe piață a </w:t>
            </w:r>
            <w:r w:rsidR="00DC7A33">
              <w:rPr>
                <w:sz w:val="22"/>
                <w:szCs w:val="22"/>
                <w:lang w:val="ro-MD"/>
              </w:rPr>
              <w:t>unor noi utilizatori de sistem.</w:t>
            </w:r>
          </w:p>
        </w:tc>
        <w:tc>
          <w:tcPr>
            <w:tcW w:w="1537" w:type="pct"/>
          </w:tcPr>
          <w:p w14:paraId="676FC91A" w14:textId="26DEC44D" w:rsidR="00245F6F" w:rsidRPr="00E0423B" w:rsidRDefault="00245F6F" w:rsidP="00245F6F">
            <w:pPr>
              <w:jc w:val="both"/>
              <w:rPr>
                <w:sz w:val="22"/>
                <w:szCs w:val="22"/>
                <w:lang w:val="en-US"/>
              </w:rPr>
            </w:pPr>
            <w:r>
              <w:rPr>
                <w:sz w:val="22"/>
                <w:szCs w:val="22"/>
                <w:lang w:val="en-US"/>
              </w:rPr>
              <w:t>L</w:t>
            </w:r>
            <w:r w:rsidRPr="00E0423B">
              <w:rPr>
                <w:sz w:val="22"/>
                <w:szCs w:val="22"/>
                <w:lang w:val="en-US"/>
              </w:rPr>
              <w:t>a sbp</w:t>
            </w:r>
            <w:r>
              <w:rPr>
                <w:sz w:val="22"/>
                <w:szCs w:val="22"/>
                <w:lang w:val="en-US"/>
              </w:rPr>
              <w:t xml:space="preserve">. 1) după cuvintele „pe piață” de </w:t>
            </w:r>
            <w:r w:rsidRPr="00E0423B">
              <w:rPr>
                <w:sz w:val="22"/>
                <w:szCs w:val="22"/>
                <w:lang w:val="en-US"/>
              </w:rPr>
              <w:t>completa</w:t>
            </w:r>
            <w:r>
              <w:rPr>
                <w:sz w:val="22"/>
                <w:szCs w:val="22"/>
                <w:lang w:val="en-US"/>
              </w:rPr>
              <w:t>t</w:t>
            </w:r>
            <w:r w:rsidRPr="00E0423B">
              <w:rPr>
                <w:sz w:val="22"/>
                <w:szCs w:val="22"/>
                <w:lang w:val="en-US"/>
              </w:rPr>
              <w:t xml:space="preserve"> cu cuvântul „relevantă”</w:t>
            </w:r>
          </w:p>
          <w:p w14:paraId="209E9148" w14:textId="15D96C71" w:rsidR="00245F6F" w:rsidRPr="006A5D70" w:rsidRDefault="00245F6F" w:rsidP="00245F6F">
            <w:pPr>
              <w:jc w:val="both"/>
              <w:rPr>
                <w:b/>
                <w:sz w:val="22"/>
                <w:szCs w:val="22"/>
                <w:lang w:val="ro-RO"/>
              </w:rPr>
            </w:pPr>
          </w:p>
        </w:tc>
        <w:tc>
          <w:tcPr>
            <w:cnfStyle w:val="000100000000" w:firstRow="0" w:lastRow="0" w:firstColumn="0" w:lastColumn="1" w:oddVBand="0" w:evenVBand="0" w:oddHBand="0" w:evenHBand="0" w:firstRowFirstColumn="0" w:firstRowLastColumn="0" w:lastRowFirstColumn="0" w:lastRowLastColumn="0"/>
            <w:tcW w:w="1060" w:type="pct"/>
          </w:tcPr>
          <w:p w14:paraId="7E384082" w14:textId="070BAB94" w:rsidR="00245F6F" w:rsidRPr="00575BB2" w:rsidRDefault="00575BB2" w:rsidP="00245F6F">
            <w:pPr>
              <w:jc w:val="both"/>
              <w:rPr>
                <w:sz w:val="22"/>
                <w:szCs w:val="22"/>
                <w:lang w:val="ro-MD"/>
              </w:rPr>
            </w:pPr>
            <w:r w:rsidRPr="00575BB2">
              <w:rPr>
                <w:sz w:val="22"/>
                <w:szCs w:val="22"/>
                <w:lang w:val="ro-MD"/>
              </w:rPr>
              <w:t xml:space="preserve">Nu se acceptă, </w:t>
            </w:r>
            <w:r w:rsidRPr="00575BB2">
              <w:rPr>
                <w:b w:val="0"/>
                <w:sz w:val="22"/>
                <w:szCs w:val="22"/>
                <w:lang w:val="ro-MD"/>
              </w:rPr>
              <w:t>cuvîntul relevantă în cazul dat nu aduce plus valoare.</w:t>
            </w:r>
          </w:p>
        </w:tc>
      </w:tr>
      <w:tr w:rsidR="00245F6F" w:rsidRPr="00E80DB2" w14:paraId="05D90BFE" w14:textId="77777777" w:rsidTr="006A5D70">
        <w:trPr>
          <w:trHeight w:val="70"/>
        </w:trPr>
        <w:tc>
          <w:tcPr>
            <w:tcW w:w="339" w:type="pct"/>
          </w:tcPr>
          <w:p w14:paraId="61936075" w14:textId="77777777" w:rsidR="00245F6F" w:rsidRPr="003F371A" w:rsidRDefault="00245F6F" w:rsidP="00245F6F">
            <w:pPr>
              <w:rPr>
                <w:sz w:val="22"/>
                <w:szCs w:val="22"/>
                <w:lang w:val="ro-RO"/>
              </w:rPr>
            </w:pPr>
            <w:r w:rsidRPr="003F371A">
              <w:rPr>
                <w:sz w:val="22"/>
                <w:szCs w:val="22"/>
                <w:lang w:val="ro-RO"/>
              </w:rPr>
              <w:t>Pct.</w:t>
            </w:r>
          </w:p>
          <w:p w14:paraId="4214C9B5" w14:textId="48C251E0" w:rsidR="00245F6F" w:rsidRPr="006A5D70" w:rsidRDefault="00245F6F" w:rsidP="00245F6F">
            <w:pPr>
              <w:rPr>
                <w:b/>
                <w:sz w:val="22"/>
                <w:szCs w:val="22"/>
                <w:lang w:val="ro-RO"/>
              </w:rPr>
            </w:pPr>
            <w:r w:rsidRPr="003F371A">
              <w:rPr>
                <w:sz w:val="22"/>
                <w:szCs w:val="22"/>
                <w:lang w:val="ro-RO"/>
              </w:rPr>
              <w:t>433</w:t>
            </w:r>
            <w:r>
              <w:rPr>
                <w:sz w:val="22"/>
                <w:szCs w:val="22"/>
                <w:vertAlign w:val="superscript"/>
                <w:lang w:val="ro-RO"/>
              </w:rPr>
              <w:t>99</w:t>
            </w:r>
          </w:p>
        </w:tc>
        <w:tc>
          <w:tcPr>
            <w:tcW w:w="536" w:type="pct"/>
          </w:tcPr>
          <w:p w14:paraId="328B03EA" w14:textId="77777777" w:rsidR="00245F6F" w:rsidRPr="006A5D70" w:rsidRDefault="00245F6F" w:rsidP="00245F6F">
            <w:pPr>
              <w:rPr>
                <w:sz w:val="22"/>
                <w:szCs w:val="22"/>
                <w:lang w:val="en-GB"/>
              </w:rPr>
            </w:pPr>
          </w:p>
        </w:tc>
        <w:tc>
          <w:tcPr>
            <w:tcW w:w="1528" w:type="pct"/>
          </w:tcPr>
          <w:p w14:paraId="1A21F5B6" w14:textId="66395D51" w:rsidR="00245F6F" w:rsidRPr="002E537D" w:rsidRDefault="00245F6F" w:rsidP="00245F6F">
            <w:pPr>
              <w:pStyle w:val="NormalWeb"/>
              <w:tabs>
                <w:tab w:val="left" w:pos="851"/>
              </w:tabs>
              <w:ind w:firstLine="0"/>
              <w:rPr>
                <w:bCs/>
                <w:color w:val="000000"/>
                <w:sz w:val="22"/>
                <w:szCs w:val="22"/>
                <w:lang w:val="ro-MD"/>
              </w:rPr>
            </w:pPr>
            <w:r w:rsidRPr="002E537D">
              <w:rPr>
                <w:sz w:val="22"/>
                <w:szCs w:val="22"/>
                <w:lang w:val="ro-MD"/>
              </w:rPr>
              <w:t>OST prezintă recomandarea Agenției pentru aprobarea propunerii în conformitate cu procedura stabilită la punctele 433</w:t>
            </w:r>
            <w:r w:rsidRPr="002E537D">
              <w:rPr>
                <w:sz w:val="22"/>
                <w:szCs w:val="22"/>
                <w:vertAlign w:val="superscript"/>
                <w:lang w:val="ro-MD"/>
              </w:rPr>
              <w:t>100</w:t>
            </w:r>
            <w:r w:rsidRPr="002E537D">
              <w:rPr>
                <w:sz w:val="22"/>
                <w:szCs w:val="22"/>
                <w:lang w:val="ro-MD"/>
              </w:rPr>
              <w:t>-433</w:t>
            </w:r>
            <w:r w:rsidRPr="002E537D">
              <w:rPr>
                <w:sz w:val="22"/>
                <w:szCs w:val="22"/>
                <w:vertAlign w:val="superscript"/>
                <w:lang w:val="ro-MD"/>
              </w:rPr>
              <w:t>101</w:t>
            </w:r>
            <w:r w:rsidRPr="002E537D">
              <w:rPr>
                <w:sz w:val="22"/>
                <w:szCs w:val="22"/>
                <w:lang w:val="ro-MD"/>
              </w:rPr>
              <w:t>. În paralel, OST publică această recomandare, sub rezerva obligațiilor de confidențialitate pe care este posibil să trebuiască să le respecte.</w:t>
            </w:r>
          </w:p>
        </w:tc>
        <w:tc>
          <w:tcPr>
            <w:tcW w:w="1537" w:type="pct"/>
          </w:tcPr>
          <w:p w14:paraId="23DC0875" w14:textId="24B511B1" w:rsidR="00245F6F" w:rsidRPr="006A5D70" w:rsidRDefault="00245F6F" w:rsidP="00245F6F">
            <w:pPr>
              <w:jc w:val="both"/>
              <w:rPr>
                <w:b/>
                <w:sz w:val="22"/>
                <w:szCs w:val="22"/>
                <w:lang w:val="ro-RO"/>
              </w:rPr>
            </w:pPr>
            <w:r w:rsidRPr="00E0423B">
              <w:rPr>
                <w:sz w:val="22"/>
                <w:szCs w:val="22"/>
                <w:lang w:val="en-US"/>
              </w:rPr>
              <w:t>Redacția pct. 433</w:t>
            </w:r>
            <w:r w:rsidRPr="00E0423B">
              <w:rPr>
                <w:sz w:val="22"/>
                <w:szCs w:val="22"/>
                <w:vertAlign w:val="superscript"/>
                <w:lang w:val="en-US"/>
              </w:rPr>
              <w:t xml:space="preserve">99 </w:t>
            </w:r>
            <w:r w:rsidRPr="00E0423B">
              <w:rPr>
                <w:sz w:val="22"/>
                <w:szCs w:val="22"/>
                <w:lang w:val="en-US"/>
              </w:rPr>
              <w:t>urmează a fi modificată în contextul art. 26 alin. (6)  din Regulamentul (CE) NR. 312/2014 în partea ce ține de obligația OST să informeze Asociația ENTSOG</w:t>
            </w:r>
            <w:r>
              <w:rPr>
                <w:sz w:val="22"/>
                <w:szCs w:val="22"/>
                <w:lang w:val="en-US"/>
              </w:rPr>
              <w:t>.</w:t>
            </w:r>
          </w:p>
        </w:tc>
        <w:tc>
          <w:tcPr>
            <w:cnfStyle w:val="000100000000" w:firstRow="0" w:lastRow="0" w:firstColumn="0" w:lastColumn="1" w:oddVBand="0" w:evenVBand="0" w:oddHBand="0" w:evenHBand="0" w:firstRowFirstColumn="0" w:firstRowLastColumn="0" w:lastRowFirstColumn="0" w:lastRowLastColumn="0"/>
            <w:tcW w:w="1060" w:type="pct"/>
          </w:tcPr>
          <w:p w14:paraId="396886CE" w14:textId="6E4A8702" w:rsidR="00245F6F" w:rsidRPr="005448F3" w:rsidRDefault="0077698B" w:rsidP="00245F6F">
            <w:pPr>
              <w:jc w:val="both"/>
              <w:rPr>
                <w:bCs w:val="0"/>
                <w:sz w:val="22"/>
                <w:szCs w:val="22"/>
                <w:lang w:val="ro-MD"/>
              </w:rPr>
            </w:pPr>
            <w:r w:rsidRPr="0077698B">
              <w:rPr>
                <w:sz w:val="22"/>
                <w:szCs w:val="22"/>
                <w:lang w:val="en-US"/>
              </w:rPr>
              <w:t>Se acceptă.</w:t>
            </w:r>
          </w:p>
          <w:p w14:paraId="4B3D32F7" w14:textId="31CC2E4A" w:rsidR="00245F6F" w:rsidRPr="005E28D9" w:rsidRDefault="00245F6F" w:rsidP="00245F6F">
            <w:pPr>
              <w:jc w:val="both"/>
              <w:rPr>
                <w:sz w:val="22"/>
                <w:szCs w:val="22"/>
                <w:highlight w:val="yellow"/>
                <w:lang w:val="ro-MD"/>
              </w:rPr>
            </w:pPr>
          </w:p>
        </w:tc>
      </w:tr>
      <w:tr w:rsidR="00245F6F" w:rsidRPr="00511A6A" w14:paraId="214781E8" w14:textId="77777777" w:rsidTr="006A5D70">
        <w:trPr>
          <w:trHeight w:val="70"/>
        </w:trPr>
        <w:tc>
          <w:tcPr>
            <w:tcW w:w="339" w:type="pct"/>
          </w:tcPr>
          <w:p w14:paraId="0D1438F4" w14:textId="77777777" w:rsidR="00245F6F" w:rsidRPr="003F371A" w:rsidRDefault="00245F6F" w:rsidP="00245F6F">
            <w:pPr>
              <w:rPr>
                <w:sz w:val="22"/>
                <w:szCs w:val="22"/>
                <w:lang w:val="ro-RO"/>
              </w:rPr>
            </w:pPr>
            <w:r w:rsidRPr="003F371A">
              <w:rPr>
                <w:sz w:val="22"/>
                <w:szCs w:val="22"/>
                <w:lang w:val="ro-RO"/>
              </w:rPr>
              <w:t>Pct.</w:t>
            </w:r>
          </w:p>
          <w:p w14:paraId="312FAFCB" w14:textId="10FFC415" w:rsidR="00245F6F" w:rsidRPr="006A5D70" w:rsidRDefault="00245F6F" w:rsidP="00245F6F">
            <w:pPr>
              <w:rPr>
                <w:b/>
                <w:sz w:val="22"/>
                <w:szCs w:val="22"/>
                <w:lang w:val="ro-RO"/>
              </w:rPr>
            </w:pPr>
            <w:r w:rsidRPr="003F371A">
              <w:rPr>
                <w:sz w:val="22"/>
                <w:szCs w:val="22"/>
                <w:lang w:val="ro-RO"/>
              </w:rPr>
              <w:t>433</w:t>
            </w:r>
            <w:r>
              <w:rPr>
                <w:sz w:val="22"/>
                <w:szCs w:val="22"/>
                <w:vertAlign w:val="superscript"/>
                <w:lang w:val="ro-RO"/>
              </w:rPr>
              <w:t>101</w:t>
            </w:r>
          </w:p>
        </w:tc>
        <w:tc>
          <w:tcPr>
            <w:tcW w:w="536" w:type="pct"/>
          </w:tcPr>
          <w:p w14:paraId="0D77BE24" w14:textId="77777777" w:rsidR="00245F6F" w:rsidRPr="006A5D70" w:rsidRDefault="00245F6F" w:rsidP="00245F6F">
            <w:pPr>
              <w:rPr>
                <w:sz w:val="22"/>
                <w:szCs w:val="22"/>
                <w:lang w:val="en-GB"/>
              </w:rPr>
            </w:pPr>
          </w:p>
        </w:tc>
        <w:tc>
          <w:tcPr>
            <w:tcW w:w="1528" w:type="pct"/>
          </w:tcPr>
          <w:p w14:paraId="45C611D1" w14:textId="0AFCA215" w:rsidR="00245F6F" w:rsidRPr="002E537D" w:rsidRDefault="00245F6F" w:rsidP="00245F6F">
            <w:pPr>
              <w:pStyle w:val="NormalWeb"/>
              <w:tabs>
                <w:tab w:val="left" w:pos="851"/>
              </w:tabs>
              <w:ind w:firstLine="0"/>
              <w:rPr>
                <w:bCs/>
                <w:color w:val="000000"/>
                <w:sz w:val="22"/>
                <w:szCs w:val="22"/>
                <w:lang w:val="ro-MD"/>
              </w:rPr>
            </w:pPr>
            <w:r w:rsidRPr="002E537D">
              <w:rPr>
                <w:sz w:val="22"/>
                <w:szCs w:val="22"/>
                <w:lang w:val="ro-MD"/>
              </w:rPr>
              <w:t>Înaintea luării deciziei motivate, Agenția se consultă cu autoritățile naționale de reglementare ale Parților Contractante a Comunitații Energetice adiacente și statelor membre UE adiacente și ține seama de opiniile acestora. Autoritățile naționale de reglementare învecinate urmează să consulte Comitetul de reglementare al CE cu privire la decizia menționată la la pct. 433</w:t>
            </w:r>
            <w:r w:rsidRPr="002E537D">
              <w:rPr>
                <w:sz w:val="22"/>
                <w:szCs w:val="22"/>
                <w:vertAlign w:val="superscript"/>
                <w:lang w:val="ro-MD"/>
              </w:rPr>
              <w:t>100</w:t>
            </w:r>
            <w:r w:rsidRPr="002E537D">
              <w:rPr>
                <w:sz w:val="22"/>
                <w:szCs w:val="22"/>
                <w:lang w:val="ro-MD"/>
              </w:rPr>
              <w:t>.</w:t>
            </w:r>
          </w:p>
        </w:tc>
        <w:tc>
          <w:tcPr>
            <w:tcW w:w="1537" w:type="pct"/>
          </w:tcPr>
          <w:p w14:paraId="21E86EA5" w14:textId="2AF2CB49" w:rsidR="00245F6F" w:rsidRPr="00E0423B" w:rsidRDefault="00245F6F" w:rsidP="00245F6F">
            <w:pPr>
              <w:jc w:val="both"/>
              <w:rPr>
                <w:sz w:val="22"/>
                <w:szCs w:val="22"/>
                <w:lang w:val="en-US"/>
              </w:rPr>
            </w:pPr>
            <w:r>
              <w:rPr>
                <w:sz w:val="22"/>
                <w:szCs w:val="22"/>
                <w:lang w:val="en-US"/>
              </w:rPr>
              <w:t>Propoziția a doua de</w:t>
            </w:r>
            <w:r w:rsidRPr="00E0423B">
              <w:rPr>
                <w:sz w:val="22"/>
                <w:szCs w:val="22"/>
                <w:lang w:val="en-US"/>
              </w:rPr>
              <w:t xml:space="preserve"> exclu</w:t>
            </w:r>
            <w:r>
              <w:rPr>
                <w:sz w:val="22"/>
                <w:szCs w:val="22"/>
                <w:lang w:val="en-US"/>
              </w:rPr>
              <w:t>s</w:t>
            </w:r>
            <w:r w:rsidRPr="00E0423B">
              <w:rPr>
                <w:sz w:val="22"/>
                <w:szCs w:val="22"/>
                <w:lang w:val="en-US"/>
              </w:rPr>
              <w:t>, deoarece ANRE nu poate stabili obligații pentru autoritățile de reglementare din alte state.</w:t>
            </w:r>
          </w:p>
          <w:p w14:paraId="5AA6553E" w14:textId="77777777" w:rsidR="00245F6F" w:rsidRPr="006A5D70" w:rsidRDefault="00245F6F" w:rsidP="00245F6F">
            <w:pPr>
              <w:jc w:val="both"/>
              <w:rPr>
                <w:b/>
                <w:sz w:val="22"/>
                <w:szCs w:val="22"/>
                <w:lang w:val="ro-RO"/>
              </w:rPr>
            </w:pPr>
          </w:p>
        </w:tc>
        <w:tc>
          <w:tcPr>
            <w:cnfStyle w:val="000100000000" w:firstRow="0" w:lastRow="0" w:firstColumn="0" w:lastColumn="1" w:oddVBand="0" w:evenVBand="0" w:oddHBand="0" w:evenHBand="0" w:firstRowFirstColumn="0" w:firstRowLastColumn="0" w:lastRowFirstColumn="0" w:lastRowLastColumn="0"/>
            <w:tcW w:w="1060" w:type="pct"/>
          </w:tcPr>
          <w:p w14:paraId="3A210EF4" w14:textId="551083A6" w:rsidR="00245F6F" w:rsidRPr="006A5D70" w:rsidRDefault="0077698B" w:rsidP="0077698B">
            <w:pPr>
              <w:jc w:val="both"/>
              <w:rPr>
                <w:sz w:val="22"/>
                <w:szCs w:val="22"/>
                <w:highlight w:val="yellow"/>
                <w:lang w:val="ro-MD"/>
              </w:rPr>
            </w:pPr>
            <w:r w:rsidRPr="0077698B">
              <w:rPr>
                <w:sz w:val="22"/>
                <w:szCs w:val="22"/>
                <w:lang w:val="ro-MD"/>
              </w:rPr>
              <w:t xml:space="preserve">Se acceptă parțial </w:t>
            </w:r>
            <w:r w:rsidRPr="0077698B">
              <w:rPr>
                <w:b w:val="0"/>
                <w:sz w:val="22"/>
                <w:szCs w:val="22"/>
                <w:lang w:val="ro-MD"/>
              </w:rPr>
              <w:t>în următoar</w:t>
            </w:r>
            <w:r>
              <w:rPr>
                <w:b w:val="0"/>
                <w:sz w:val="22"/>
                <w:szCs w:val="22"/>
                <w:lang w:val="ro-MD"/>
              </w:rPr>
              <w:t xml:space="preserve">ea  redacție: </w:t>
            </w:r>
            <w:r w:rsidRPr="00241444">
              <w:rPr>
                <w:lang w:val="ro-MD"/>
              </w:rPr>
              <w:t xml:space="preserve"> </w:t>
            </w:r>
            <w:r w:rsidRPr="0077698B">
              <w:rPr>
                <w:b w:val="0"/>
                <w:lang w:val="ro-MD"/>
              </w:rPr>
              <w:t>„</w:t>
            </w:r>
            <w:r w:rsidRPr="0077698B">
              <w:rPr>
                <w:b w:val="0"/>
                <w:i/>
                <w:lang w:val="ro-MD"/>
              </w:rPr>
              <w:t xml:space="preserve">Înaintea luării deciziei motivate, Agenția se consultă cu autoritățile naționale de reglementare ale Parților Contractante a Comunitații Energetice adiacente și statelor membre UE adiacente și ține seama de opiniile acestora. Decizia </w:t>
            </w:r>
            <w:r w:rsidRPr="0077698B">
              <w:rPr>
                <w:b w:val="0"/>
                <w:i/>
                <w:lang w:val="ro-MD"/>
              </w:rPr>
              <w:lastRenderedPageBreak/>
              <w:t>menționată la  pct. 433</w:t>
            </w:r>
            <w:r w:rsidRPr="0077698B">
              <w:rPr>
                <w:b w:val="0"/>
                <w:i/>
                <w:vertAlign w:val="superscript"/>
                <w:lang w:val="ro-MD"/>
              </w:rPr>
              <w:t>100</w:t>
            </w:r>
            <w:r w:rsidRPr="0077698B">
              <w:rPr>
                <w:b w:val="0"/>
                <w:i/>
                <w:lang w:val="ro-MD"/>
              </w:rPr>
              <w:t xml:space="preserve"> va fi consultată și cu Comitetul de reglementare al CE</w:t>
            </w:r>
            <w:r>
              <w:rPr>
                <w:b w:val="0"/>
                <w:i/>
                <w:lang w:val="ro-MD"/>
              </w:rPr>
              <w:t>”</w:t>
            </w:r>
            <w:r w:rsidRPr="0077698B">
              <w:rPr>
                <w:b w:val="0"/>
                <w:i/>
                <w:lang w:val="ro-MD"/>
              </w:rPr>
              <w:t>.</w:t>
            </w:r>
          </w:p>
        </w:tc>
      </w:tr>
      <w:tr w:rsidR="00245F6F" w:rsidRPr="00511A6A" w14:paraId="386E2808" w14:textId="77777777" w:rsidTr="006A5D70">
        <w:trPr>
          <w:trHeight w:val="70"/>
        </w:trPr>
        <w:tc>
          <w:tcPr>
            <w:tcW w:w="339" w:type="pct"/>
          </w:tcPr>
          <w:p w14:paraId="56F316E4" w14:textId="77777777" w:rsidR="00245F6F" w:rsidRPr="003F371A" w:rsidRDefault="00245F6F" w:rsidP="00245F6F">
            <w:pPr>
              <w:rPr>
                <w:sz w:val="22"/>
                <w:szCs w:val="22"/>
                <w:lang w:val="ro-RO"/>
              </w:rPr>
            </w:pPr>
            <w:r w:rsidRPr="003F371A">
              <w:rPr>
                <w:sz w:val="22"/>
                <w:szCs w:val="22"/>
                <w:lang w:val="ro-RO"/>
              </w:rPr>
              <w:lastRenderedPageBreak/>
              <w:t>Pct.</w:t>
            </w:r>
          </w:p>
          <w:p w14:paraId="77969CAC" w14:textId="0A69C9E7" w:rsidR="00245F6F" w:rsidRPr="006A5D70" w:rsidRDefault="00245F6F" w:rsidP="00245F6F">
            <w:pPr>
              <w:rPr>
                <w:b/>
                <w:sz w:val="22"/>
                <w:szCs w:val="22"/>
                <w:lang w:val="ro-RO"/>
              </w:rPr>
            </w:pPr>
            <w:r w:rsidRPr="003F371A">
              <w:rPr>
                <w:sz w:val="22"/>
                <w:szCs w:val="22"/>
                <w:lang w:val="ro-RO"/>
              </w:rPr>
              <w:t>433</w:t>
            </w:r>
            <w:r>
              <w:rPr>
                <w:sz w:val="22"/>
                <w:szCs w:val="22"/>
                <w:vertAlign w:val="superscript"/>
                <w:lang w:val="ro-RO"/>
              </w:rPr>
              <w:t>109</w:t>
            </w:r>
          </w:p>
        </w:tc>
        <w:tc>
          <w:tcPr>
            <w:tcW w:w="536" w:type="pct"/>
          </w:tcPr>
          <w:p w14:paraId="680560B4" w14:textId="77777777" w:rsidR="00245F6F" w:rsidRPr="006A5D70" w:rsidRDefault="00245F6F" w:rsidP="00245F6F">
            <w:pPr>
              <w:rPr>
                <w:sz w:val="22"/>
                <w:szCs w:val="22"/>
                <w:lang w:val="en-GB"/>
              </w:rPr>
            </w:pPr>
          </w:p>
        </w:tc>
        <w:tc>
          <w:tcPr>
            <w:tcW w:w="1528" w:type="pct"/>
          </w:tcPr>
          <w:p w14:paraId="315BBAB9" w14:textId="2C715EE8" w:rsidR="00245F6F" w:rsidRPr="002E537D" w:rsidRDefault="00245F6F" w:rsidP="00245F6F">
            <w:pPr>
              <w:pStyle w:val="NormalWeb"/>
              <w:tabs>
                <w:tab w:val="left" w:pos="851"/>
              </w:tabs>
              <w:ind w:firstLine="0"/>
              <w:rPr>
                <w:bCs/>
                <w:color w:val="000000"/>
                <w:sz w:val="22"/>
                <w:szCs w:val="22"/>
                <w:lang w:val="ro-MD"/>
              </w:rPr>
            </w:pPr>
            <w:r w:rsidRPr="002E537D">
              <w:rPr>
                <w:sz w:val="22"/>
                <w:szCs w:val="22"/>
                <w:lang w:val="ro-MD"/>
              </w:rPr>
              <w:t xml:space="preserve">Agenția stabilește sau aprobă și publică </w:t>
            </w:r>
            <w:r w:rsidRPr="002E537D">
              <w:rPr>
                <w:i/>
                <w:sz w:val="22"/>
                <w:szCs w:val="22"/>
                <w:lang w:val="ro-MD"/>
              </w:rPr>
              <w:t>Metodologia pentru calcularea plăților pentru neutralitate pentru echilibrare</w:t>
            </w:r>
            <w:r w:rsidRPr="002E537D">
              <w:rPr>
                <w:sz w:val="22"/>
                <w:szCs w:val="22"/>
                <w:lang w:val="ro-MD"/>
              </w:rPr>
              <w:t>, inclusiv repartizarea lor în rândul utilizatorilor de sistem și normele de administrare a riscului de credit.</w:t>
            </w:r>
          </w:p>
        </w:tc>
        <w:tc>
          <w:tcPr>
            <w:tcW w:w="1537" w:type="pct"/>
          </w:tcPr>
          <w:p w14:paraId="2717232D" w14:textId="2E4CC9AC" w:rsidR="00245F6F" w:rsidRPr="006A5D70" w:rsidRDefault="00245F6F" w:rsidP="00245F6F">
            <w:pPr>
              <w:jc w:val="both"/>
              <w:rPr>
                <w:b/>
                <w:sz w:val="22"/>
                <w:szCs w:val="22"/>
                <w:lang w:val="ro-RO"/>
              </w:rPr>
            </w:pPr>
            <w:r>
              <w:rPr>
                <w:sz w:val="22"/>
                <w:szCs w:val="22"/>
                <w:lang w:val="en-US"/>
              </w:rPr>
              <w:t>R</w:t>
            </w:r>
            <w:r w:rsidRPr="00E0423B">
              <w:rPr>
                <w:sz w:val="22"/>
                <w:szCs w:val="22"/>
                <w:lang w:val="en-US"/>
              </w:rPr>
              <w:t>emarcăm că competența de reglementare a ANRE urmează a fi stabilită în lege.</w:t>
            </w:r>
          </w:p>
        </w:tc>
        <w:tc>
          <w:tcPr>
            <w:cnfStyle w:val="000100000000" w:firstRow="0" w:lastRow="0" w:firstColumn="0" w:lastColumn="1" w:oddVBand="0" w:evenVBand="0" w:oddHBand="0" w:evenHBand="0" w:firstRowFirstColumn="0" w:firstRowLastColumn="0" w:lastRowFirstColumn="0" w:lastRowLastColumn="0"/>
            <w:tcW w:w="1060" w:type="pct"/>
          </w:tcPr>
          <w:p w14:paraId="3DAD3244" w14:textId="29EA8B2E" w:rsidR="00245F6F" w:rsidRPr="006A5D70" w:rsidRDefault="00245F6F" w:rsidP="00245F6F">
            <w:pPr>
              <w:jc w:val="both"/>
              <w:rPr>
                <w:sz w:val="22"/>
                <w:szCs w:val="22"/>
                <w:highlight w:val="yellow"/>
                <w:lang w:val="ro-MD"/>
              </w:rPr>
            </w:pPr>
          </w:p>
        </w:tc>
      </w:tr>
      <w:tr w:rsidR="00245F6F" w:rsidRPr="006A5D70" w14:paraId="6C58BC22" w14:textId="77777777" w:rsidTr="006A5D70">
        <w:trPr>
          <w:trHeight w:val="70"/>
        </w:trPr>
        <w:tc>
          <w:tcPr>
            <w:tcW w:w="339" w:type="pct"/>
          </w:tcPr>
          <w:p w14:paraId="26963816" w14:textId="77777777" w:rsidR="00245F6F" w:rsidRPr="003F371A" w:rsidRDefault="00245F6F" w:rsidP="00245F6F">
            <w:pPr>
              <w:rPr>
                <w:sz w:val="22"/>
                <w:szCs w:val="22"/>
                <w:lang w:val="ro-RO"/>
              </w:rPr>
            </w:pPr>
            <w:r w:rsidRPr="003F371A">
              <w:rPr>
                <w:sz w:val="22"/>
                <w:szCs w:val="22"/>
                <w:lang w:val="ro-RO"/>
              </w:rPr>
              <w:t>Pct.</w:t>
            </w:r>
          </w:p>
          <w:p w14:paraId="32EDF2E6" w14:textId="44F865E1" w:rsidR="00245F6F" w:rsidRPr="006A5D70" w:rsidRDefault="00245F6F" w:rsidP="00245F6F">
            <w:pPr>
              <w:rPr>
                <w:b/>
                <w:sz w:val="22"/>
                <w:szCs w:val="22"/>
                <w:lang w:val="ro-RO"/>
              </w:rPr>
            </w:pPr>
            <w:r w:rsidRPr="003F371A">
              <w:rPr>
                <w:sz w:val="22"/>
                <w:szCs w:val="22"/>
                <w:lang w:val="ro-RO"/>
              </w:rPr>
              <w:t>433</w:t>
            </w:r>
            <w:r>
              <w:rPr>
                <w:sz w:val="22"/>
                <w:szCs w:val="22"/>
                <w:vertAlign w:val="superscript"/>
                <w:lang w:val="ro-RO"/>
              </w:rPr>
              <w:t>118</w:t>
            </w:r>
          </w:p>
        </w:tc>
        <w:tc>
          <w:tcPr>
            <w:tcW w:w="536" w:type="pct"/>
          </w:tcPr>
          <w:p w14:paraId="6D8C327A" w14:textId="77777777" w:rsidR="00245F6F" w:rsidRPr="006A5D70" w:rsidRDefault="00245F6F" w:rsidP="00245F6F">
            <w:pPr>
              <w:rPr>
                <w:sz w:val="22"/>
                <w:szCs w:val="22"/>
                <w:lang w:val="en-GB"/>
              </w:rPr>
            </w:pPr>
          </w:p>
        </w:tc>
        <w:tc>
          <w:tcPr>
            <w:tcW w:w="1528" w:type="pct"/>
          </w:tcPr>
          <w:p w14:paraId="367952C1" w14:textId="0F22398C" w:rsidR="00245F6F" w:rsidRPr="002E537D" w:rsidRDefault="00245F6F" w:rsidP="00245F6F">
            <w:pPr>
              <w:pStyle w:val="NormalWeb"/>
              <w:tabs>
                <w:tab w:val="left" w:pos="851"/>
              </w:tabs>
              <w:ind w:firstLine="0"/>
              <w:rPr>
                <w:bCs/>
                <w:color w:val="000000"/>
                <w:sz w:val="22"/>
                <w:szCs w:val="22"/>
                <w:lang w:val="ro-MD"/>
              </w:rPr>
            </w:pPr>
            <w:r w:rsidRPr="002E537D">
              <w:rPr>
                <w:sz w:val="22"/>
                <w:szCs w:val="22"/>
                <w:lang w:val="ro-MD"/>
              </w:rPr>
              <w:t>În cazul în care nu au fost deja comunicate de OST conform Regulamentului privind accesul la reţelele de transport al gazelor naturale şi gestionarea congestiilor aprobat prin Hotărârea ANRE nr. 421/2019 din 22.11.2019, OST comunică toate informațiile menționate în pct. 433</w:t>
            </w:r>
            <w:r w:rsidRPr="002E537D">
              <w:rPr>
                <w:sz w:val="22"/>
                <w:szCs w:val="22"/>
                <w:vertAlign w:val="superscript"/>
                <w:lang w:val="ro-MD"/>
              </w:rPr>
              <w:t>117</w:t>
            </w:r>
            <w:r w:rsidRPr="002E537D">
              <w:rPr>
                <w:sz w:val="22"/>
                <w:szCs w:val="22"/>
                <w:lang w:val="ro-MD"/>
              </w:rPr>
              <w:t>, după cum urmează:</w:t>
            </w:r>
          </w:p>
        </w:tc>
        <w:tc>
          <w:tcPr>
            <w:tcW w:w="1537" w:type="pct"/>
          </w:tcPr>
          <w:p w14:paraId="7965C615" w14:textId="67CE8BCA" w:rsidR="00245F6F" w:rsidRPr="0077698B" w:rsidRDefault="00245F6F" w:rsidP="00245F6F">
            <w:pPr>
              <w:jc w:val="both"/>
              <w:rPr>
                <w:sz w:val="22"/>
                <w:szCs w:val="22"/>
                <w:lang w:val="en-US"/>
              </w:rPr>
            </w:pPr>
            <w:r w:rsidRPr="0077698B">
              <w:rPr>
                <w:sz w:val="22"/>
                <w:szCs w:val="22"/>
                <w:lang w:val="en-US"/>
              </w:rPr>
              <w:t>De exclus textul „din 22.11.2019” ca fiind excedent.</w:t>
            </w:r>
          </w:p>
          <w:p w14:paraId="67688742" w14:textId="53CEEAC0" w:rsidR="00245F6F" w:rsidRPr="0077698B" w:rsidRDefault="00245F6F" w:rsidP="00245F6F">
            <w:pPr>
              <w:jc w:val="both"/>
              <w:rPr>
                <w:b/>
                <w:sz w:val="22"/>
                <w:szCs w:val="22"/>
                <w:lang w:val="ro-RO"/>
              </w:rPr>
            </w:pPr>
          </w:p>
        </w:tc>
        <w:tc>
          <w:tcPr>
            <w:cnfStyle w:val="000100000000" w:firstRow="0" w:lastRow="0" w:firstColumn="0" w:lastColumn="1" w:oddVBand="0" w:evenVBand="0" w:oddHBand="0" w:evenHBand="0" w:firstRowFirstColumn="0" w:firstRowLastColumn="0" w:lastRowFirstColumn="0" w:lastRowLastColumn="0"/>
            <w:tcW w:w="1060" w:type="pct"/>
          </w:tcPr>
          <w:p w14:paraId="3019E451" w14:textId="0B0DDE49" w:rsidR="00245F6F" w:rsidRPr="0077698B" w:rsidRDefault="00245F6F" w:rsidP="00245F6F">
            <w:pPr>
              <w:jc w:val="both"/>
              <w:rPr>
                <w:sz w:val="22"/>
                <w:szCs w:val="22"/>
                <w:lang w:val="ro-MD"/>
              </w:rPr>
            </w:pPr>
            <w:r w:rsidRPr="0077698B">
              <w:rPr>
                <w:sz w:val="22"/>
                <w:szCs w:val="22"/>
                <w:lang w:val="ro-MD"/>
              </w:rPr>
              <w:t>Se acceptă</w:t>
            </w:r>
          </w:p>
        </w:tc>
      </w:tr>
      <w:tr w:rsidR="00245F6F" w:rsidRPr="006A5D70" w14:paraId="0C0728B6" w14:textId="77777777" w:rsidTr="006A5D70">
        <w:trPr>
          <w:trHeight w:val="70"/>
        </w:trPr>
        <w:tc>
          <w:tcPr>
            <w:tcW w:w="339" w:type="pct"/>
          </w:tcPr>
          <w:p w14:paraId="4DB223EF" w14:textId="77777777" w:rsidR="00245F6F" w:rsidRPr="003F371A" w:rsidRDefault="00245F6F" w:rsidP="00245F6F">
            <w:pPr>
              <w:rPr>
                <w:sz w:val="22"/>
                <w:szCs w:val="22"/>
                <w:lang w:val="ro-RO"/>
              </w:rPr>
            </w:pPr>
            <w:r w:rsidRPr="003F371A">
              <w:rPr>
                <w:sz w:val="22"/>
                <w:szCs w:val="22"/>
                <w:lang w:val="ro-RO"/>
              </w:rPr>
              <w:t>Pct.</w:t>
            </w:r>
          </w:p>
          <w:p w14:paraId="61892059" w14:textId="032DB2A1" w:rsidR="00245F6F" w:rsidRPr="006A5D70" w:rsidRDefault="00245F6F" w:rsidP="00245F6F">
            <w:pPr>
              <w:rPr>
                <w:b/>
                <w:sz w:val="22"/>
                <w:szCs w:val="22"/>
                <w:lang w:val="ro-RO"/>
              </w:rPr>
            </w:pPr>
            <w:r w:rsidRPr="003F371A">
              <w:rPr>
                <w:sz w:val="22"/>
                <w:szCs w:val="22"/>
                <w:lang w:val="ro-RO"/>
              </w:rPr>
              <w:t>433</w:t>
            </w:r>
            <w:r>
              <w:rPr>
                <w:sz w:val="22"/>
                <w:szCs w:val="22"/>
                <w:vertAlign w:val="superscript"/>
                <w:lang w:val="ro-RO"/>
              </w:rPr>
              <w:t>122</w:t>
            </w:r>
          </w:p>
        </w:tc>
        <w:tc>
          <w:tcPr>
            <w:tcW w:w="536" w:type="pct"/>
          </w:tcPr>
          <w:p w14:paraId="64AAE992" w14:textId="77777777" w:rsidR="00245F6F" w:rsidRPr="006A5D70" w:rsidRDefault="00245F6F" w:rsidP="00245F6F">
            <w:pPr>
              <w:rPr>
                <w:sz w:val="22"/>
                <w:szCs w:val="22"/>
                <w:lang w:val="en-GB"/>
              </w:rPr>
            </w:pPr>
          </w:p>
        </w:tc>
        <w:tc>
          <w:tcPr>
            <w:tcW w:w="1528" w:type="pct"/>
          </w:tcPr>
          <w:p w14:paraId="0BCF6DD1" w14:textId="0BADE320" w:rsidR="00245F6F" w:rsidRPr="002E537D" w:rsidRDefault="00245F6F" w:rsidP="00245F6F">
            <w:pPr>
              <w:pStyle w:val="NormalWeb"/>
              <w:tabs>
                <w:tab w:val="left" w:pos="851"/>
              </w:tabs>
              <w:ind w:firstLine="0"/>
              <w:rPr>
                <w:bCs/>
                <w:color w:val="000000"/>
                <w:sz w:val="22"/>
                <w:szCs w:val="22"/>
                <w:lang w:val="ro-MD"/>
              </w:rPr>
            </w:pPr>
            <w:r w:rsidRPr="002E537D">
              <w:rPr>
                <w:sz w:val="22"/>
                <w:szCs w:val="22"/>
                <w:lang w:val="ro-MD"/>
              </w:rPr>
              <w:t>Pentru zonele de echilibrare unde se intenționează aplicarea variantei 2 a modelului de informare după expirarea termenului de transpunere a prezentului Titlu, trebuie derulată o consultare prealabilă a pieței de către OST sau de către Agenție, după caz.</w:t>
            </w:r>
          </w:p>
        </w:tc>
        <w:tc>
          <w:tcPr>
            <w:tcW w:w="1537" w:type="pct"/>
          </w:tcPr>
          <w:p w14:paraId="10028F6D" w14:textId="4CB0DB1C" w:rsidR="00245F6F" w:rsidRPr="00E0423B" w:rsidRDefault="00245F6F" w:rsidP="00245F6F">
            <w:pPr>
              <w:jc w:val="both"/>
              <w:rPr>
                <w:sz w:val="22"/>
                <w:szCs w:val="22"/>
                <w:lang w:val="en-US"/>
              </w:rPr>
            </w:pPr>
            <w:r>
              <w:rPr>
                <w:sz w:val="22"/>
                <w:szCs w:val="22"/>
                <w:lang w:val="en-US"/>
              </w:rPr>
              <w:t>C</w:t>
            </w:r>
            <w:r w:rsidRPr="00E0423B">
              <w:rPr>
                <w:sz w:val="22"/>
                <w:szCs w:val="22"/>
                <w:lang w:val="en-US"/>
              </w:rPr>
              <w:t>uvintele „după expirarea termenului de tr</w:t>
            </w:r>
            <w:r>
              <w:rPr>
                <w:sz w:val="22"/>
                <w:szCs w:val="22"/>
                <w:lang w:val="en-US"/>
              </w:rPr>
              <w:t xml:space="preserve">anspunere a prezentului Titlu” de </w:t>
            </w:r>
            <w:r w:rsidRPr="00E0423B">
              <w:rPr>
                <w:sz w:val="22"/>
                <w:szCs w:val="22"/>
                <w:lang w:val="en-US"/>
              </w:rPr>
              <w:t>substitui</w:t>
            </w:r>
            <w:r>
              <w:rPr>
                <w:sz w:val="22"/>
                <w:szCs w:val="22"/>
                <w:lang w:val="en-US"/>
              </w:rPr>
              <w:t>t</w:t>
            </w:r>
            <w:r w:rsidRPr="00E0423B">
              <w:rPr>
                <w:sz w:val="22"/>
                <w:szCs w:val="22"/>
                <w:lang w:val="en-US"/>
              </w:rPr>
              <w:t xml:space="preserve"> cu cuvintele „după intrarea în vigoare a prezentului Titlu” (observație valabilă și pentru restul cazurilor similare).</w:t>
            </w:r>
          </w:p>
          <w:p w14:paraId="2FB4B45B" w14:textId="77777777" w:rsidR="00245F6F" w:rsidRPr="006A5D70" w:rsidRDefault="00245F6F" w:rsidP="00245F6F">
            <w:pPr>
              <w:jc w:val="both"/>
              <w:rPr>
                <w:b/>
                <w:sz w:val="22"/>
                <w:szCs w:val="22"/>
                <w:lang w:val="ro-RO"/>
              </w:rPr>
            </w:pPr>
          </w:p>
        </w:tc>
        <w:tc>
          <w:tcPr>
            <w:cnfStyle w:val="000100000000" w:firstRow="0" w:lastRow="0" w:firstColumn="0" w:lastColumn="1" w:oddVBand="0" w:evenVBand="0" w:oddHBand="0" w:evenHBand="0" w:firstRowFirstColumn="0" w:firstRowLastColumn="0" w:lastRowFirstColumn="0" w:lastRowLastColumn="0"/>
            <w:tcW w:w="1060" w:type="pct"/>
          </w:tcPr>
          <w:p w14:paraId="4277E133" w14:textId="679BB6CB" w:rsidR="00245F6F" w:rsidRPr="006A5D70" w:rsidRDefault="00245F6F" w:rsidP="00245F6F">
            <w:pPr>
              <w:jc w:val="both"/>
              <w:rPr>
                <w:sz w:val="22"/>
                <w:szCs w:val="22"/>
                <w:highlight w:val="yellow"/>
                <w:lang w:val="ro-MD"/>
              </w:rPr>
            </w:pPr>
            <w:r w:rsidRPr="0077698B">
              <w:rPr>
                <w:sz w:val="22"/>
                <w:szCs w:val="22"/>
                <w:lang w:val="ro-MD"/>
              </w:rPr>
              <w:t>Se acceptă</w:t>
            </w:r>
          </w:p>
        </w:tc>
      </w:tr>
      <w:tr w:rsidR="0077698B" w:rsidRPr="00511A6A" w14:paraId="5022C48E" w14:textId="77777777" w:rsidTr="006A5D70">
        <w:trPr>
          <w:trHeight w:val="70"/>
        </w:trPr>
        <w:tc>
          <w:tcPr>
            <w:tcW w:w="339" w:type="pct"/>
          </w:tcPr>
          <w:p w14:paraId="62C1DCF1" w14:textId="77777777" w:rsidR="0077698B" w:rsidRPr="003F371A" w:rsidRDefault="0077698B" w:rsidP="00245F6F">
            <w:pPr>
              <w:rPr>
                <w:sz w:val="22"/>
                <w:szCs w:val="22"/>
                <w:lang w:val="ro-RO"/>
              </w:rPr>
            </w:pPr>
            <w:r w:rsidRPr="003F371A">
              <w:rPr>
                <w:sz w:val="22"/>
                <w:szCs w:val="22"/>
                <w:lang w:val="ro-RO"/>
              </w:rPr>
              <w:t>Pct.</w:t>
            </w:r>
          </w:p>
          <w:p w14:paraId="1C448EF1" w14:textId="7267DD08" w:rsidR="0077698B" w:rsidRPr="006A5D70" w:rsidRDefault="0077698B" w:rsidP="00245F6F">
            <w:pPr>
              <w:rPr>
                <w:b/>
                <w:sz w:val="22"/>
                <w:szCs w:val="22"/>
                <w:lang w:val="ro-RO"/>
              </w:rPr>
            </w:pPr>
            <w:r w:rsidRPr="003F371A">
              <w:rPr>
                <w:sz w:val="22"/>
                <w:szCs w:val="22"/>
                <w:lang w:val="ro-RO"/>
              </w:rPr>
              <w:t>433</w:t>
            </w:r>
            <w:r>
              <w:rPr>
                <w:sz w:val="22"/>
                <w:szCs w:val="22"/>
                <w:vertAlign w:val="superscript"/>
                <w:lang w:val="ro-RO"/>
              </w:rPr>
              <w:t>123</w:t>
            </w:r>
          </w:p>
        </w:tc>
        <w:tc>
          <w:tcPr>
            <w:tcW w:w="536" w:type="pct"/>
          </w:tcPr>
          <w:p w14:paraId="0D2C7FAE" w14:textId="77777777" w:rsidR="0077698B" w:rsidRPr="006A5D70" w:rsidRDefault="0077698B" w:rsidP="00245F6F">
            <w:pPr>
              <w:rPr>
                <w:sz w:val="22"/>
                <w:szCs w:val="22"/>
                <w:lang w:val="en-GB"/>
              </w:rPr>
            </w:pPr>
          </w:p>
        </w:tc>
        <w:tc>
          <w:tcPr>
            <w:tcW w:w="1528" w:type="pct"/>
          </w:tcPr>
          <w:p w14:paraId="7F2AFEAA" w14:textId="5EEADDF4" w:rsidR="0077698B" w:rsidRPr="002E537D" w:rsidRDefault="0077698B" w:rsidP="00245F6F">
            <w:pPr>
              <w:pStyle w:val="NormalWeb"/>
              <w:tabs>
                <w:tab w:val="left" w:pos="851"/>
              </w:tabs>
              <w:ind w:firstLine="0"/>
              <w:rPr>
                <w:bCs/>
                <w:color w:val="000000"/>
                <w:sz w:val="22"/>
                <w:szCs w:val="22"/>
                <w:lang w:val="ro-MD"/>
              </w:rPr>
            </w:pPr>
            <w:r w:rsidRPr="002E537D">
              <w:rPr>
                <w:sz w:val="22"/>
                <w:szCs w:val="22"/>
                <w:lang w:val="ro-MD"/>
              </w:rPr>
              <w:t>Pentru intrările în și ieșirile din zona de echilibrare, cu măsurare pe parcursul zilei, în cazul în care alocarea către utilizatorul de sistem este egală cu cantitatea sa confirmată, OST nu este obligat să comunice alte informații decât cele referitoare la cantitatea confirmată.</w:t>
            </w:r>
          </w:p>
        </w:tc>
        <w:tc>
          <w:tcPr>
            <w:tcW w:w="1537" w:type="pct"/>
          </w:tcPr>
          <w:p w14:paraId="7FF40FDB" w14:textId="04A40CF0" w:rsidR="0077698B" w:rsidRPr="00E0423B" w:rsidRDefault="0077698B" w:rsidP="00245F6F">
            <w:pPr>
              <w:jc w:val="both"/>
              <w:rPr>
                <w:sz w:val="22"/>
                <w:szCs w:val="22"/>
                <w:lang w:val="en-US"/>
              </w:rPr>
            </w:pPr>
            <w:r>
              <w:rPr>
                <w:sz w:val="22"/>
                <w:szCs w:val="22"/>
                <w:lang w:val="en-US"/>
              </w:rPr>
              <w:t>C</w:t>
            </w:r>
            <w:r w:rsidRPr="00E0423B">
              <w:rPr>
                <w:sz w:val="22"/>
                <w:szCs w:val="22"/>
                <w:lang w:val="en-US"/>
              </w:rPr>
              <w:t xml:space="preserve">uvintele „să comunice” </w:t>
            </w:r>
            <w:r>
              <w:rPr>
                <w:sz w:val="22"/>
                <w:szCs w:val="22"/>
                <w:lang w:val="en-US"/>
              </w:rPr>
              <w:t>de s</w:t>
            </w:r>
            <w:r w:rsidRPr="00E0423B">
              <w:rPr>
                <w:sz w:val="22"/>
                <w:szCs w:val="22"/>
                <w:lang w:val="en-US"/>
              </w:rPr>
              <w:t>ubstitui</w:t>
            </w:r>
            <w:r>
              <w:rPr>
                <w:sz w:val="22"/>
                <w:szCs w:val="22"/>
                <w:lang w:val="en-US"/>
              </w:rPr>
              <w:t>t</w:t>
            </w:r>
            <w:r w:rsidRPr="00E0423B">
              <w:rPr>
                <w:sz w:val="22"/>
                <w:szCs w:val="22"/>
                <w:lang w:val="en-US"/>
              </w:rPr>
              <w:t xml:space="preserve"> cu cuvintele „să furnizeze”.</w:t>
            </w:r>
          </w:p>
          <w:p w14:paraId="2F78B266" w14:textId="77777777" w:rsidR="0077698B" w:rsidRPr="006A5D70" w:rsidRDefault="0077698B" w:rsidP="00245F6F">
            <w:pPr>
              <w:ind w:firstLine="708"/>
              <w:jc w:val="both"/>
              <w:rPr>
                <w:b/>
                <w:sz w:val="22"/>
                <w:szCs w:val="22"/>
                <w:lang w:val="ro-RO"/>
              </w:rPr>
            </w:pPr>
          </w:p>
        </w:tc>
        <w:tc>
          <w:tcPr>
            <w:cnfStyle w:val="000100000000" w:firstRow="0" w:lastRow="0" w:firstColumn="0" w:lastColumn="1" w:oddVBand="0" w:evenVBand="0" w:oddHBand="0" w:evenHBand="0" w:firstRowFirstColumn="0" w:firstRowLastColumn="0" w:lastRowFirstColumn="0" w:lastRowLastColumn="0"/>
            <w:tcW w:w="1060" w:type="pct"/>
            <w:vMerge w:val="restart"/>
          </w:tcPr>
          <w:p w14:paraId="4460C999" w14:textId="5E861880" w:rsidR="0077698B" w:rsidRPr="00714F77" w:rsidRDefault="0077698B" w:rsidP="0077698B">
            <w:pPr>
              <w:jc w:val="both"/>
              <w:rPr>
                <w:b w:val="0"/>
                <w:sz w:val="22"/>
                <w:szCs w:val="22"/>
                <w:highlight w:val="yellow"/>
                <w:lang w:val="ro-MD"/>
              </w:rPr>
            </w:pPr>
            <w:r w:rsidRPr="0077698B">
              <w:rPr>
                <w:sz w:val="22"/>
                <w:szCs w:val="22"/>
                <w:lang w:val="ro-MD"/>
              </w:rPr>
              <w:t>Nu se acceptă.</w:t>
            </w:r>
            <w:r>
              <w:rPr>
                <w:sz w:val="22"/>
                <w:szCs w:val="22"/>
                <w:lang w:val="ro-MD"/>
              </w:rPr>
              <w:t xml:space="preserve"> </w:t>
            </w:r>
            <w:r w:rsidRPr="0077698B">
              <w:rPr>
                <w:b w:val="0"/>
                <w:sz w:val="22"/>
                <w:szCs w:val="22"/>
                <w:lang w:val="ro-MD"/>
              </w:rPr>
              <w:t>În Legea nr.108/2016</w:t>
            </w:r>
            <w:r>
              <w:rPr>
                <w:b w:val="0"/>
                <w:sz w:val="22"/>
                <w:szCs w:val="22"/>
                <w:lang w:val="ro-MD"/>
              </w:rPr>
              <w:t xml:space="preserve"> </w:t>
            </w:r>
            <w:r w:rsidRPr="0077698B">
              <w:rPr>
                <w:b w:val="0"/>
                <w:sz w:val="22"/>
                <w:szCs w:val="22"/>
                <w:lang w:val="ro-MD"/>
              </w:rPr>
              <w:t>cu privire la gazele naturale cuvîntul „furnizare</w:t>
            </w:r>
            <w:r w:rsidRPr="0077698B">
              <w:rPr>
                <w:b w:val="0"/>
                <w:sz w:val="22"/>
                <w:szCs w:val="22"/>
                <w:lang w:val="en-GB"/>
              </w:rPr>
              <w:t>”</w:t>
            </w:r>
            <w:r w:rsidRPr="0077698B">
              <w:rPr>
                <w:b w:val="0"/>
                <w:sz w:val="22"/>
                <w:szCs w:val="22"/>
                <w:lang w:val="ro-MD"/>
              </w:rPr>
              <w:t xml:space="preserve"> se utilizează în alt context. Tot odată C</w:t>
            </w:r>
            <w:r w:rsidRPr="0077698B">
              <w:rPr>
                <w:sz w:val="22"/>
                <w:szCs w:val="22"/>
                <w:lang w:val="ro-MD"/>
              </w:rPr>
              <w:t xml:space="preserve">odul reţelelor de gaze naturale nr.420/2019 </w:t>
            </w:r>
            <w:r w:rsidRPr="0077698B">
              <w:rPr>
                <w:b w:val="0"/>
                <w:sz w:val="22"/>
                <w:szCs w:val="22"/>
                <w:lang w:val="ro-MD"/>
              </w:rPr>
              <w:t>are un caracter</w:t>
            </w:r>
            <w:r w:rsidRPr="0077698B">
              <w:rPr>
                <w:sz w:val="22"/>
                <w:szCs w:val="22"/>
                <w:lang w:val="ro-MD"/>
              </w:rPr>
              <w:t xml:space="preserve"> </w:t>
            </w:r>
            <w:r w:rsidRPr="0077698B">
              <w:rPr>
                <w:b w:val="0"/>
                <w:sz w:val="22"/>
                <w:szCs w:val="22"/>
                <w:lang w:val="ro-MD"/>
              </w:rPr>
              <w:t xml:space="preserve">tehnic pentru care este necesar să utilizăm termenii necesari.  </w:t>
            </w:r>
          </w:p>
        </w:tc>
      </w:tr>
      <w:tr w:rsidR="0077698B" w:rsidRPr="00511A6A" w14:paraId="20B12822" w14:textId="77777777" w:rsidTr="006A5D70">
        <w:trPr>
          <w:trHeight w:val="70"/>
        </w:trPr>
        <w:tc>
          <w:tcPr>
            <w:tcW w:w="339" w:type="pct"/>
          </w:tcPr>
          <w:p w14:paraId="5856A29C" w14:textId="77777777" w:rsidR="0077698B" w:rsidRPr="003F371A" w:rsidRDefault="0077698B" w:rsidP="00245F6F">
            <w:pPr>
              <w:rPr>
                <w:sz w:val="22"/>
                <w:szCs w:val="22"/>
                <w:lang w:val="ro-RO"/>
              </w:rPr>
            </w:pPr>
            <w:r w:rsidRPr="003F371A">
              <w:rPr>
                <w:sz w:val="22"/>
                <w:szCs w:val="22"/>
                <w:lang w:val="ro-RO"/>
              </w:rPr>
              <w:t>Pct.</w:t>
            </w:r>
          </w:p>
          <w:p w14:paraId="39B41095" w14:textId="7D92F2E2" w:rsidR="0077698B" w:rsidRPr="006A5D70" w:rsidRDefault="0077698B" w:rsidP="00245F6F">
            <w:pPr>
              <w:rPr>
                <w:b/>
                <w:sz w:val="22"/>
                <w:szCs w:val="22"/>
                <w:lang w:val="ro-RO"/>
              </w:rPr>
            </w:pPr>
            <w:r w:rsidRPr="003F371A">
              <w:rPr>
                <w:sz w:val="22"/>
                <w:szCs w:val="22"/>
                <w:lang w:val="ro-RO"/>
              </w:rPr>
              <w:t>433</w:t>
            </w:r>
            <w:r>
              <w:rPr>
                <w:sz w:val="22"/>
                <w:szCs w:val="22"/>
                <w:vertAlign w:val="superscript"/>
                <w:lang w:val="ro-RO"/>
              </w:rPr>
              <w:t xml:space="preserve">124-125, 128, </w:t>
            </w:r>
            <w:r w:rsidRPr="0077698B">
              <w:rPr>
                <w:sz w:val="22"/>
                <w:szCs w:val="22"/>
                <w:vertAlign w:val="superscript"/>
                <w:lang w:val="ro-RO"/>
              </w:rPr>
              <w:t>129</w:t>
            </w:r>
          </w:p>
        </w:tc>
        <w:tc>
          <w:tcPr>
            <w:tcW w:w="536" w:type="pct"/>
          </w:tcPr>
          <w:p w14:paraId="4BECEBAF" w14:textId="77777777" w:rsidR="0077698B" w:rsidRPr="006A5D70" w:rsidRDefault="0077698B" w:rsidP="00245F6F">
            <w:pPr>
              <w:rPr>
                <w:sz w:val="22"/>
                <w:szCs w:val="22"/>
                <w:lang w:val="en-GB"/>
              </w:rPr>
            </w:pPr>
          </w:p>
        </w:tc>
        <w:tc>
          <w:tcPr>
            <w:tcW w:w="1528" w:type="pct"/>
          </w:tcPr>
          <w:p w14:paraId="5B1A8452" w14:textId="470A773B" w:rsidR="0077698B" w:rsidRPr="002E537D" w:rsidRDefault="0077698B" w:rsidP="005448F3">
            <w:pPr>
              <w:pStyle w:val="NormalWeb"/>
              <w:tabs>
                <w:tab w:val="left" w:pos="851"/>
              </w:tabs>
              <w:ind w:firstLine="0"/>
              <w:rPr>
                <w:bCs/>
                <w:color w:val="000000"/>
                <w:sz w:val="22"/>
                <w:szCs w:val="22"/>
                <w:lang w:val="ro-MD"/>
              </w:rPr>
            </w:pPr>
            <w:r w:rsidRPr="002E537D">
              <w:rPr>
                <w:sz w:val="22"/>
                <w:szCs w:val="22"/>
                <w:lang w:val="ro-MD"/>
              </w:rPr>
              <w:t xml:space="preserve">Pentru intrările în și ieșirile din zona de echilibrare, cu măsurare pe parcursul zilei, în cazul în care alocarea pentru un utilizator de sistem nu este egală cu cantitatea sa confirmată, în ziua gazieră Z, OST comunică utilizatorilor de sistem un minimum de două actualizări ale fluxurilor </w:t>
            </w:r>
            <w:r w:rsidR="005F771C">
              <w:rPr>
                <w:sz w:val="22"/>
                <w:szCs w:val="22"/>
                <w:lang w:val="ro-MD"/>
              </w:rPr>
              <w:t>.</w:t>
            </w:r>
          </w:p>
        </w:tc>
        <w:tc>
          <w:tcPr>
            <w:tcW w:w="1537" w:type="pct"/>
          </w:tcPr>
          <w:p w14:paraId="4695F3E5" w14:textId="14F201E0" w:rsidR="0077698B" w:rsidRPr="0077698B" w:rsidRDefault="0077698B" w:rsidP="00245F6F">
            <w:pPr>
              <w:jc w:val="both"/>
              <w:rPr>
                <w:sz w:val="22"/>
                <w:szCs w:val="22"/>
                <w:lang w:val="en-US"/>
              </w:rPr>
            </w:pPr>
            <w:r w:rsidRPr="0077698B">
              <w:rPr>
                <w:sz w:val="22"/>
                <w:szCs w:val="22"/>
                <w:lang w:val="en-US"/>
              </w:rPr>
              <w:t>Textul „ comunică” de substituit cu textul „ furnizează”.</w:t>
            </w:r>
          </w:p>
          <w:p w14:paraId="23531F46" w14:textId="77777777" w:rsidR="0077698B" w:rsidRPr="0077698B" w:rsidRDefault="0077698B" w:rsidP="00245F6F">
            <w:pPr>
              <w:jc w:val="both"/>
              <w:rPr>
                <w:b/>
                <w:sz w:val="22"/>
                <w:szCs w:val="22"/>
                <w:lang w:val="ro-RO"/>
              </w:rPr>
            </w:pPr>
          </w:p>
        </w:tc>
        <w:tc>
          <w:tcPr>
            <w:cnfStyle w:val="000100000000" w:firstRow="0" w:lastRow="0" w:firstColumn="0" w:lastColumn="1" w:oddVBand="0" w:evenVBand="0" w:oddHBand="0" w:evenHBand="0" w:firstRowFirstColumn="0" w:firstRowLastColumn="0" w:lastRowFirstColumn="0" w:lastRowLastColumn="0"/>
            <w:tcW w:w="1060" w:type="pct"/>
            <w:vMerge/>
          </w:tcPr>
          <w:p w14:paraId="46E37FF8" w14:textId="205EE1DC" w:rsidR="0077698B" w:rsidRPr="00714F77" w:rsidRDefault="0077698B" w:rsidP="00245F6F">
            <w:pPr>
              <w:jc w:val="both"/>
              <w:rPr>
                <w:b w:val="0"/>
                <w:sz w:val="22"/>
                <w:szCs w:val="22"/>
                <w:lang w:val="ro-MD"/>
              </w:rPr>
            </w:pPr>
          </w:p>
        </w:tc>
      </w:tr>
      <w:tr w:rsidR="00245F6F" w:rsidRPr="00511A6A" w14:paraId="026C1C6D" w14:textId="77777777" w:rsidTr="006A5D70">
        <w:trPr>
          <w:trHeight w:val="70"/>
        </w:trPr>
        <w:tc>
          <w:tcPr>
            <w:tcW w:w="339" w:type="pct"/>
          </w:tcPr>
          <w:p w14:paraId="02ACC7D1" w14:textId="77777777" w:rsidR="00245F6F" w:rsidRDefault="00245F6F" w:rsidP="00245F6F">
            <w:pPr>
              <w:rPr>
                <w:sz w:val="22"/>
                <w:szCs w:val="22"/>
                <w:lang w:val="ro-RO"/>
              </w:rPr>
            </w:pPr>
            <w:r w:rsidRPr="004E48A4">
              <w:rPr>
                <w:sz w:val="22"/>
                <w:szCs w:val="22"/>
                <w:lang w:val="ro-RO"/>
              </w:rPr>
              <w:t>Pct.</w:t>
            </w:r>
          </w:p>
          <w:p w14:paraId="3F167327" w14:textId="6CB8A55D" w:rsidR="00245F6F" w:rsidRPr="004E48A4" w:rsidRDefault="00245F6F" w:rsidP="00245F6F">
            <w:pPr>
              <w:rPr>
                <w:sz w:val="22"/>
                <w:szCs w:val="22"/>
                <w:vertAlign w:val="superscript"/>
                <w:lang w:val="ro-RO"/>
              </w:rPr>
            </w:pPr>
            <w:r w:rsidRPr="004E48A4">
              <w:rPr>
                <w:sz w:val="22"/>
                <w:szCs w:val="22"/>
                <w:lang w:val="ro-RO"/>
              </w:rPr>
              <w:t>433</w:t>
            </w:r>
            <w:r w:rsidRPr="004E48A4">
              <w:rPr>
                <w:sz w:val="22"/>
                <w:szCs w:val="22"/>
                <w:vertAlign w:val="superscript"/>
                <w:lang w:val="ro-RO"/>
              </w:rPr>
              <w:t>133</w:t>
            </w:r>
          </w:p>
        </w:tc>
        <w:tc>
          <w:tcPr>
            <w:tcW w:w="536" w:type="pct"/>
          </w:tcPr>
          <w:p w14:paraId="5B4C7E1A" w14:textId="77777777" w:rsidR="00245F6F" w:rsidRPr="006A5D70" w:rsidRDefault="00245F6F" w:rsidP="00245F6F">
            <w:pPr>
              <w:rPr>
                <w:sz w:val="22"/>
                <w:szCs w:val="22"/>
                <w:lang w:val="en-GB"/>
              </w:rPr>
            </w:pPr>
          </w:p>
        </w:tc>
        <w:tc>
          <w:tcPr>
            <w:tcW w:w="1528" w:type="pct"/>
          </w:tcPr>
          <w:p w14:paraId="29758287" w14:textId="77777777" w:rsidR="00245F6F" w:rsidRPr="00B27A86" w:rsidRDefault="00245F6F" w:rsidP="00245F6F">
            <w:pPr>
              <w:jc w:val="both"/>
              <w:rPr>
                <w:sz w:val="22"/>
                <w:szCs w:val="22"/>
                <w:lang w:val="ro-MD"/>
              </w:rPr>
            </w:pPr>
            <w:r w:rsidRPr="00B27A86">
              <w:rPr>
                <w:sz w:val="22"/>
                <w:szCs w:val="22"/>
                <w:lang w:val="ro-MD"/>
              </w:rPr>
              <w:t>Momentul transmiterii celei de a doua actualizări este definit cu aprobarea Agenției și este publicat de OST. Acesta ține cont de următoarele:</w:t>
            </w:r>
          </w:p>
          <w:p w14:paraId="1C1D37F2" w14:textId="77777777" w:rsidR="00245F6F" w:rsidRPr="00B27A86" w:rsidRDefault="00245F6F" w:rsidP="00245F6F">
            <w:pPr>
              <w:jc w:val="both"/>
              <w:rPr>
                <w:sz w:val="22"/>
                <w:szCs w:val="22"/>
                <w:lang w:val="ro-MD"/>
              </w:rPr>
            </w:pPr>
            <w:r w:rsidRPr="00B27A86">
              <w:rPr>
                <w:sz w:val="22"/>
                <w:szCs w:val="22"/>
                <w:lang w:val="ro-MD"/>
              </w:rPr>
              <w:lastRenderedPageBreak/>
              <w:t>1) accesul la PSTS pe o platformă de tranzacționare;</w:t>
            </w:r>
          </w:p>
          <w:p w14:paraId="208E8A9B" w14:textId="376CA48C" w:rsidR="00245F6F" w:rsidRPr="005448F3" w:rsidRDefault="00245F6F" w:rsidP="005448F3">
            <w:pPr>
              <w:jc w:val="both"/>
              <w:rPr>
                <w:sz w:val="22"/>
                <w:szCs w:val="22"/>
                <w:lang w:val="ro-MD"/>
              </w:rPr>
            </w:pPr>
            <w:r w:rsidRPr="00B27A86">
              <w:rPr>
                <w:sz w:val="22"/>
                <w:szCs w:val="22"/>
                <w:lang w:val="ro-MD"/>
              </w:rPr>
              <w:t xml:space="preserve">2) precizia prognozei referitoare la ieșirile utilizatorului de sistem, </w:t>
            </w:r>
            <w:r w:rsidRPr="00B27A86">
              <w:rPr>
                <w:bCs/>
                <w:sz w:val="22"/>
                <w:szCs w:val="22"/>
                <w:lang w:val="ro-MD"/>
              </w:rPr>
              <w:t>cu măsurare nonzilnică</w:t>
            </w:r>
            <w:r w:rsidRPr="00B27A86">
              <w:rPr>
                <w:sz w:val="22"/>
                <w:szCs w:val="22"/>
                <w:lang w:val="ro-MD"/>
              </w:rPr>
              <w:t>, comparativ cu momentul furnizării sale;</w:t>
            </w:r>
          </w:p>
        </w:tc>
        <w:tc>
          <w:tcPr>
            <w:tcW w:w="1537" w:type="pct"/>
          </w:tcPr>
          <w:p w14:paraId="0F755E65" w14:textId="17FBFB2D" w:rsidR="00245F6F" w:rsidRPr="0077698B" w:rsidRDefault="00245F6F" w:rsidP="00245F6F">
            <w:pPr>
              <w:jc w:val="both"/>
              <w:rPr>
                <w:sz w:val="22"/>
                <w:szCs w:val="22"/>
                <w:lang w:val="en-US"/>
              </w:rPr>
            </w:pPr>
            <w:r w:rsidRPr="0077698B">
              <w:rPr>
                <w:sz w:val="22"/>
                <w:szCs w:val="22"/>
                <w:lang w:val="en-US"/>
              </w:rPr>
              <w:lastRenderedPageBreak/>
              <w:t>- cuvintele „Momentul transmiterii” de substituit cu cuvintele „Momentul furnizării;”</w:t>
            </w:r>
          </w:p>
          <w:p w14:paraId="24B30D8D" w14:textId="2E75A69D" w:rsidR="00245F6F" w:rsidRPr="0077698B" w:rsidRDefault="00245F6F" w:rsidP="00245F6F">
            <w:pPr>
              <w:jc w:val="both"/>
              <w:rPr>
                <w:sz w:val="22"/>
                <w:szCs w:val="22"/>
                <w:lang w:val="en-US"/>
              </w:rPr>
            </w:pPr>
            <w:r w:rsidRPr="0077698B">
              <w:rPr>
                <w:sz w:val="22"/>
                <w:szCs w:val="22"/>
                <w:lang w:val="en-US"/>
              </w:rPr>
              <w:t xml:space="preserve">- la sbp. 2) cuvintele „precizia prognozei” de substituit cu cuvintele „acuratețea prognozei”, </w:t>
            </w:r>
            <w:r w:rsidRPr="0077698B">
              <w:rPr>
                <w:sz w:val="22"/>
                <w:szCs w:val="22"/>
                <w:lang w:val="en-US"/>
              </w:rPr>
              <w:lastRenderedPageBreak/>
              <w:t>deoarece noțiunea de „prognoză precisă” este eronată.</w:t>
            </w:r>
          </w:p>
          <w:p w14:paraId="17682A03" w14:textId="77777777" w:rsidR="00245F6F" w:rsidRPr="0077698B" w:rsidRDefault="00245F6F" w:rsidP="00245F6F">
            <w:pPr>
              <w:jc w:val="both"/>
              <w:rPr>
                <w:b/>
                <w:sz w:val="22"/>
                <w:szCs w:val="22"/>
                <w:lang w:val="ro-RO"/>
              </w:rPr>
            </w:pPr>
          </w:p>
        </w:tc>
        <w:tc>
          <w:tcPr>
            <w:cnfStyle w:val="000100000000" w:firstRow="0" w:lastRow="0" w:firstColumn="0" w:lastColumn="1" w:oddVBand="0" w:evenVBand="0" w:oddHBand="0" w:evenHBand="0" w:firstRowFirstColumn="0" w:firstRowLastColumn="0" w:lastRowFirstColumn="0" w:lastRowLastColumn="0"/>
            <w:tcW w:w="1060" w:type="pct"/>
          </w:tcPr>
          <w:p w14:paraId="1220766E" w14:textId="12862C51" w:rsidR="00245F6F" w:rsidRPr="0077698B" w:rsidRDefault="00245F6F" w:rsidP="00E80DB2">
            <w:pPr>
              <w:jc w:val="both"/>
              <w:rPr>
                <w:sz w:val="22"/>
                <w:szCs w:val="22"/>
                <w:lang w:val="ro-MD"/>
              </w:rPr>
            </w:pPr>
            <w:r w:rsidRPr="0077698B">
              <w:rPr>
                <w:b w:val="0"/>
                <w:sz w:val="22"/>
                <w:szCs w:val="22"/>
                <w:lang w:val="ro-MD"/>
              </w:rPr>
              <w:lastRenderedPageBreak/>
              <w:t>Argumentarea este descrisă mai sus</w:t>
            </w:r>
          </w:p>
        </w:tc>
      </w:tr>
      <w:tr w:rsidR="00245F6F" w:rsidRPr="00511A6A" w14:paraId="07994988" w14:textId="77777777" w:rsidTr="006A5D70">
        <w:trPr>
          <w:trHeight w:val="70"/>
        </w:trPr>
        <w:tc>
          <w:tcPr>
            <w:tcW w:w="339" w:type="pct"/>
          </w:tcPr>
          <w:p w14:paraId="7CAC9733" w14:textId="77777777" w:rsidR="00245F6F" w:rsidRDefault="00245F6F" w:rsidP="00245F6F">
            <w:pPr>
              <w:rPr>
                <w:sz w:val="22"/>
                <w:szCs w:val="22"/>
                <w:lang w:val="ro-RO"/>
              </w:rPr>
            </w:pPr>
            <w:r w:rsidRPr="004E48A4">
              <w:rPr>
                <w:sz w:val="22"/>
                <w:szCs w:val="22"/>
                <w:lang w:val="ro-RO"/>
              </w:rPr>
              <w:lastRenderedPageBreak/>
              <w:t>Pct.</w:t>
            </w:r>
          </w:p>
          <w:p w14:paraId="5E6F8E85" w14:textId="77777777" w:rsidR="00245F6F" w:rsidRDefault="00245F6F" w:rsidP="00245F6F">
            <w:pPr>
              <w:rPr>
                <w:sz w:val="22"/>
                <w:szCs w:val="22"/>
                <w:lang w:val="ro-RO"/>
              </w:rPr>
            </w:pPr>
            <w:r w:rsidRPr="004E48A4">
              <w:rPr>
                <w:sz w:val="22"/>
                <w:szCs w:val="22"/>
                <w:lang w:val="ro-RO"/>
              </w:rPr>
              <w:t>433</w:t>
            </w:r>
            <w:r w:rsidRPr="004E48A4">
              <w:rPr>
                <w:sz w:val="22"/>
                <w:szCs w:val="22"/>
                <w:vertAlign w:val="superscript"/>
                <w:lang w:val="ro-RO"/>
              </w:rPr>
              <w:t>134</w:t>
            </w:r>
            <w:r>
              <w:rPr>
                <w:sz w:val="22"/>
                <w:szCs w:val="22"/>
                <w:lang w:val="ro-RO"/>
              </w:rPr>
              <w:t>,</w:t>
            </w:r>
          </w:p>
          <w:p w14:paraId="7A31407A" w14:textId="634882C2" w:rsidR="00245F6F" w:rsidRPr="004E48A4" w:rsidRDefault="00245F6F" w:rsidP="00245F6F">
            <w:pPr>
              <w:rPr>
                <w:sz w:val="22"/>
                <w:szCs w:val="22"/>
                <w:vertAlign w:val="superscript"/>
                <w:lang w:val="ro-RO"/>
              </w:rPr>
            </w:pPr>
            <w:r>
              <w:rPr>
                <w:sz w:val="22"/>
                <w:szCs w:val="22"/>
                <w:lang w:val="ro-RO"/>
              </w:rPr>
              <w:t>433</w:t>
            </w:r>
            <w:r>
              <w:rPr>
                <w:sz w:val="22"/>
                <w:szCs w:val="22"/>
                <w:vertAlign w:val="superscript"/>
                <w:lang w:val="ro-RO"/>
              </w:rPr>
              <w:t>135</w:t>
            </w:r>
          </w:p>
        </w:tc>
        <w:tc>
          <w:tcPr>
            <w:tcW w:w="536" w:type="pct"/>
          </w:tcPr>
          <w:p w14:paraId="4E837710" w14:textId="77777777" w:rsidR="00245F6F" w:rsidRPr="006A5D70" w:rsidRDefault="00245F6F" w:rsidP="00245F6F">
            <w:pPr>
              <w:rPr>
                <w:sz w:val="22"/>
                <w:szCs w:val="22"/>
                <w:lang w:val="en-GB"/>
              </w:rPr>
            </w:pPr>
          </w:p>
        </w:tc>
        <w:tc>
          <w:tcPr>
            <w:tcW w:w="1528" w:type="pct"/>
          </w:tcPr>
          <w:p w14:paraId="6A2E33A6" w14:textId="77777777" w:rsidR="00245F6F" w:rsidRPr="00B27A86" w:rsidRDefault="00245F6F" w:rsidP="00245F6F">
            <w:pPr>
              <w:jc w:val="both"/>
              <w:rPr>
                <w:sz w:val="22"/>
                <w:szCs w:val="22"/>
                <w:lang w:val="ro-MD"/>
              </w:rPr>
            </w:pPr>
            <w:r w:rsidRPr="00B27A86">
              <w:rPr>
                <w:sz w:val="22"/>
                <w:szCs w:val="22"/>
                <w:lang w:val="ro-MD"/>
              </w:rPr>
              <w:t>În cazul în care se aplică varianta 1 a modelului de informare, în ziua gazieră Z, OST transmite utilizatorilor de sistem minimum două actualizări ale repartizării acestora de fluxuri măsurate, cel puțin pentru ieșirile cumulate cu măsurare nonzilnică, în conformitate cu pct. 433</w:t>
            </w:r>
            <w:r w:rsidRPr="00B27A86">
              <w:rPr>
                <w:sz w:val="22"/>
                <w:szCs w:val="22"/>
                <w:vertAlign w:val="superscript"/>
                <w:lang w:val="ro-MD"/>
              </w:rPr>
              <w:t>129</w:t>
            </w:r>
            <w:r w:rsidRPr="00B27A86">
              <w:rPr>
                <w:sz w:val="22"/>
                <w:szCs w:val="22"/>
                <w:lang w:val="ro-MD"/>
              </w:rPr>
              <w:t>-433</w:t>
            </w:r>
            <w:r w:rsidRPr="00B27A86">
              <w:rPr>
                <w:sz w:val="22"/>
                <w:szCs w:val="22"/>
                <w:vertAlign w:val="superscript"/>
                <w:lang w:val="ro-MD"/>
              </w:rPr>
              <w:t>130</w:t>
            </w:r>
            <w:r w:rsidRPr="00B27A86">
              <w:rPr>
                <w:sz w:val="22"/>
                <w:szCs w:val="22"/>
                <w:lang w:val="ro-MD"/>
              </w:rPr>
              <w:t>.</w:t>
            </w:r>
          </w:p>
          <w:p w14:paraId="247B8CA3" w14:textId="2FF310D5" w:rsidR="00245F6F" w:rsidRPr="0077698B" w:rsidRDefault="00245F6F" w:rsidP="0077698B">
            <w:pPr>
              <w:jc w:val="both"/>
              <w:rPr>
                <w:sz w:val="22"/>
                <w:szCs w:val="22"/>
                <w:lang w:val="ro-MD"/>
              </w:rPr>
            </w:pPr>
            <w:r w:rsidRPr="00B27A86">
              <w:rPr>
                <w:sz w:val="22"/>
                <w:szCs w:val="22"/>
                <w:lang w:val="ro-MD"/>
              </w:rPr>
              <w:t>433</w:t>
            </w:r>
            <w:r w:rsidRPr="00B27A86">
              <w:rPr>
                <w:sz w:val="22"/>
                <w:szCs w:val="22"/>
                <w:vertAlign w:val="superscript"/>
                <w:lang w:val="ro-MD"/>
              </w:rPr>
              <w:t>135</w:t>
            </w:r>
            <w:r w:rsidRPr="00B27A86">
              <w:rPr>
                <w:sz w:val="22"/>
                <w:szCs w:val="22"/>
                <w:lang w:val="ro-MD"/>
              </w:rPr>
              <w:t>. În cazul în care se aplică varianta 2 a modelului de informare, în ziua gazieră Z—1, OST transmite utilizatorilor de sistem o prognoză a ieșirilor cu măsurare nonzilnică pentru ziua gazieră Z, astfel cum sunt menționate în pct. 433</w:t>
            </w:r>
            <w:r w:rsidRPr="00B27A86">
              <w:rPr>
                <w:sz w:val="22"/>
                <w:szCs w:val="22"/>
                <w:vertAlign w:val="superscript"/>
                <w:lang w:val="ro-MD"/>
              </w:rPr>
              <w:t>131</w:t>
            </w:r>
            <w:r w:rsidR="0077698B">
              <w:rPr>
                <w:sz w:val="22"/>
                <w:szCs w:val="22"/>
                <w:lang w:val="ro-MD"/>
              </w:rPr>
              <w:t xml:space="preserve"> subpunctul 1).</w:t>
            </w:r>
          </w:p>
        </w:tc>
        <w:tc>
          <w:tcPr>
            <w:tcW w:w="1537" w:type="pct"/>
          </w:tcPr>
          <w:p w14:paraId="0922A41A" w14:textId="47D9F122" w:rsidR="00245F6F" w:rsidRPr="0077698B" w:rsidRDefault="00245F6F" w:rsidP="00245F6F">
            <w:pPr>
              <w:jc w:val="both"/>
              <w:rPr>
                <w:sz w:val="22"/>
                <w:szCs w:val="22"/>
                <w:lang w:val="en-US"/>
              </w:rPr>
            </w:pPr>
            <w:r w:rsidRPr="0077698B">
              <w:rPr>
                <w:sz w:val="22"/>
                <w:szCs w:val="22"/>
                <w:lang w:val="en-US"/>
              </w:rPr>
              <w:t>Cuvintele „transmite utilizatorilor” de substituit cu cuvintele „furnizează utilizatorilor”.</w:t>
            </w:r>
          </w:p>
          <w:p w14:paraId="32CF0B4D" w14:textId="77777777" w:rsidR="00245F6F" w:rsidRPr="0077698B" w:rsidRDefault="00245F6F" w:rsidP="00245F6F">
            <w:pPr>
              <w:jc w:val="both"/>
              <w:rPr>
                <w:b/>
                <w:sz w:val="22"/>
                <w:szCs w:val="22"/>
                <w:lang w:val="ro-RO"/>
              </w:rPr>
            </w:pPr>
          </w:p>
        </w:tc>
        <w:tc>
          <w:tcPr>
            <w:cnfStyle w:val="000100000000" w:firstRow="0" w:lastRow="0" w:firstColumn="0" w:lastColumn="1" w:oddVBand="0" w:evenVBand="0" w:oddHBand="0" w:evenHBand="0" w:firstRowFirstColumn="0" w:firstRowLastColumn="0" w:lastRowFirstColumn="0" w:lastRowLastColumn="0"/>
            <w:tcW w:w="1060" w:type="pct"/>
          </w:tcPr>
          <w:p w14:paraId="4BF16AC1" w14:textId="67371D22" w:rsidR="00245F6F" w:rsidRPr="0077698B" w:rsidRDefault="00245F6F" w:rsidP="00245F6F">
            <w:pPr>
              <w:jc w:val="both"/>
              <w:rPr>
                <w:sz w:val="22"/>
                <w:szCs w:val="22"/>
                <w:lang w:val="ro-MD"/>
              </w:rPr>
            </w:pPr>
            <w:r w:rsidRPr="0077698B">
              <w:rPr>
                <w:b w:val="0"/>
                <w:sz w:val="22"/>
                <w:szCs w:val="22"/>
                <w:lang w:val="ro-MD"/>
              </w:rPr>
              <w:t>Argumentarea este descrisă mai sus</w:t>
            </w:r>
          </w:p>
        </w:tc>
      </w:tr>
      <w:tr w:rsidR="00245F6F" w:rsidRPr="006A5D70" w14:paraId="7037B343" w14:textId="77777777" w:rsidTr="006A5D70">
        <w:trPr>
          <w:trHeight w:val="70"/>
        </w:trPr>
        <w:tc>
          <w:tcPr>
            <w:tcW w:w="339" w:type="pct"/>
          </w:tcPr>
          <w:p w14:paraId="44CEFA5F" w14:textId="77777777" w:rsidR="00245F6F" w:rsidRDefault="00245F6F" w:rsidP="00245F6F">
            <w:pPr>
              <w:rPr>
                <w:sz w:val="22"/>
                <w:szCs w:val="22"/>
                <w:lang w:val="ro-RO"/>
              </w:rPr>
            </w:pPr>
            <w:r w:rsidRPr="004E48A4">
              <w:rPr>
                <w:sz w:val="22"/>
                <w:szCs w:val="22"/>
                <w:lang w:val="ro-RO"/>
              </w:rPr>
              <w:t>Pct.</w:t>
            </w:r>
          </w:p>
          <w:p w14:paraId="2992BD50" w14:textId="6372C3D0" w:rsidR="00245F6F" w:rsidRPr="004E48A4" w:rsidRDefault="00245F6F" w:rsidP="00245F6F">
            <w:pPr>
              <w:rPr>
                <w:sz w:val="22"/>
                <w:szCs w:val="22"/>
                <w:vertAlign w:val="superscript"/>
                <w:lang w:val="ro-RO"/>
              </w:rPr>
            </w:pPr>
            <w:r w:rsidRPr="004E48A4">
              <w:rPr>
                <w:sz w:val="22"/>
                <w:szCs w:val="22"/>
                <w:lang w:val="ro-RO"/>
              </w:rPr>
              <w:t>433</w:t>
            </w:r>
            <w:r w:rsidRPr="004E48A4">
              <w:rPr>
                <w:sz w:val="22"/>
                <w:szCs w:val="22"/>
                <w:vertAlign w:val="superscript"/>
                <w:lang w:val="ro-RO"/>
              </w:rPr>
              <w:t>138</w:t>
            </w:r>
          </w:p>
        </w:tc>
        <w:tc>
          <w:tcPr>
            <w:tcW w:w="536" w:type="pct"/>
          </w:tcPr>
          <w:p w14:paraId="7D757D0D" w14:textId="77777777" w:rsidR="00245F6F" w:rsidRPr="006A5D70" w:rsidRDefault="00245F6F" w:rsidP="00245F6F">
            <w:pPr>
              <w:rPr>
                <w:sz w:val="22"/>
                <w:szCs w:val="22"/>
                <w:lang w:val="en-GB"/>
              </w:rPr>
            </w:pPr>
          </w:p>
        </w:tc>
        <w:tc>
          <w:tcPr>
            <w:tcW w:w="1528" w:type="pct"/>
          </w:tcPr>
          <w:p w14:paraId="1F4B5782" w14:textId="71862683" w:rsidR="00245F6F" w:rsidRPr="00B27A86" w:rsidRDefault="00245F6F" w:rsidP="00245F6F">
            <w:pPr>
              <w:pStyle w:val="NormalWeb"/>
              <w:tabs>
                <w:tab w:val="left" w:pos="851"/>
              </w:tabs>
              <w:ind w:firstLine="0"/>
              <w:rPr>
                <w:bCs/>
                <w:color w:val="000000"/>
                <w:sz w:val="22"/>
                <w:szCs w:val="22"/>
                <w:lang w:val="ro-MD"/>
              </w:rPr>
            </w:pPr>
            <w:r w:rsidRPr="00B27A86">
              <w:rPr>
                <w:sz w:val="22"/>
                <w:szCs w:val="22"/>
                <w:lang w:val="ro-MD"/>
              </w:rPr>
              <w:t>OST transmite fiecărui utilizator de sistem alocarea finală pentru intrările și ieșirile acestuia și cantitatea finală de dezechilibru zilnic, într-un termen definit în conformitate cu normele naționale aplicabile.</w:t>
            </w:r>
          </w:p>
        </w:tc>
        <w:tc>
          <w:tcPr>
            <w:tcW w:w="1537" w:type="pct"/>
          </w:tcPr>
          <w:p w14:paraId="2868CC67" w14:textId="3A5655FA" w:rsidR="00245F6F" w:rsidRPr="005448F3" w:rsidRDefault="00245F6F" w:rsidP="00245F6F">
            <w:pPr>
              <w:jc w:val="both"/>
              <w:rPr>
                <w:b/>
                <w:i/>
                <w:sz w:val="22"/>
                <w:szCs w:val="22"/>
                <w:lang w:val="en-US"/>
              </w:rPr>
            </w:pPr>
            <w:r w:rsidRPr="00D1605E">
              <w:rPr>
                <w:sz w:val="22"/>
                <w:szCs w:val="22"/>
                <w:lang w:val="en-US"/>
              </w:rPr>
              <w:t xml:space="preserve">De precizat reglementările naționale ce țin de transmiterea fiecărui utilizator de sistem a alocărilor finale pentru intrările și ieșirile acestora și cantitatea finală de dezechilibru zilnic, </w:t>
            </w:r>
            <w:bookmarkStart w:id="0" w:name="_GoBack"/>
            <w:r w:rsidRPr="00511A6A">
              <w:rPr>
                <w:i/>
                <w:sz w:val="22"/>
                <w:szCs w:val="22"/>
                <w:lang w:val="en-US"/>
              </w:rPr>
              <w:t>într-un termen definit.</w:t>
            </w:r>
            <w:bookmarkEnd w:id="0"/>
          </w:p>
        </w:tc>
        <w:tc>
          <w:tcPr>
            <w:cnfStyle w:val="000100000000" w:firstRow="0" w:lastRow="0" w:firstColumn="0" w:lastColumn="1" w:oddVBand="0" w:evenVBand="0" w:oddHBand="0" w:evenHBand="0" w:firstRowFirstColumn="0" w:firstRowLastColumn="0" w:lastRowFirstColumn="0" w:lastRowLastColumn="0"/>
            <w:tcW w:w="1060" w:type="pct"/>
          </w:tcPr>
          <w:p w14:paraId="57764B68" w14:textId="37AB5DFB" w:rsidR="00245F6F" w:rsidRPr="00D1605E" w:rsidRDefault="00245F6F" w:rsidP="00245F6F">
            <w:pPr>
              <w:jc w:val="both"/>
              <w:rPr>
                <w:sz w:val="22"/>
                <w:szCs w:val="22"/>
                <w:lang w:val="ro-MD"/>
              </w:rPr>
            </w:pPr>
            <w:r w:rsidRPr="00D1605E">
              <w:rPr>
                <w:sz w:val="22"/>
                <w:szCs w:val="22"/>
                <w:lang w:val="ro-MD"/>
              </w:rPr>
              <w:t>Se acceptă</w:t>
            </w:r>
          </w:p>
        </w:tc>
      </w:tr>
      <w:tr w:rsidR="00245F6F" w:rsidRPr="006A5D70" w14:paraId="429094AA" w14:textId="77777777" w:rsidTr="006A5D70">
        <w:trPr>
          <w:trHeight w:val="70"/>
        </w:trPr>
        <w:tc>
          <w:tcPr>
            <w:tcW w:w="339" w:type="pct"/>
          </w:tcPr>
          <w:p w14:paraId="4D1FA5B2" w14:textId="285AD908" w:rsidR="00245F6F" w:rsidRPr="00E92B51" w:rsidRDefault="00245F6F" w:rsidP="00245F6F">
            <w:pPr>
              <w:rPr>
                <w:b/>
                <w:sz w:val="22"/>
                <w:szCs w:val="22"/>
                <w:lang w:val="ro-RO"/>
              </w:rPr>
            </w:pPr>
            <w:r w:rsidRPr="00E92B51">
              <w:rPr>
                <w:sz w:val="22"/>
                <w:szCs w:val="22"/>
                <w:lang w:val="en-US"/>
              </w:rPr>
              <w:t>pct. 433</w:t>
            </w:r>
            <w:r w:rsidRPr="00E92B51">
              <w:rPr>
                <w:sz w:val="22"/>
                <w:szCs w:val="22"/>
                <w:vertAlign w:val="superscript"/>
                <w:lang w:val="en-US"/>
              </w:rPr>
              <w:t>165</w:t>
            </w:r>
          </w:p>
        </w:tc>
        <w:tc>
          <w:tcPr>
            <w:tcW w:w="536" w:type="pct"/>
          </w:tcPr>
          <w:p w14:paraId="52246C43" w14:textId="77777777" w:rsidR="00245F6F" w:rsidRPr="006A5D70" w:rsidRDefault="00245F6F" w:rsidP="00245F6F">
            <w:pPr>
              <w:rPr>
                <w:sz w:val="22"/>
                <w:szCs w:val="22"/>
                <w:lang w:val="en-GB"/>
              </w:rPr>
            </w:pPr>
          </w:p>
        </w:tc>
        <w:tc>
          <w:tcPr>
            <w:tcW w:w="1528" w:type="pct"/>
          </w:tcPr>
          <w:p w14:paraId="5A5A34EF" w14:textId="239F5265" w:rsidR="00245F6F" w:rsidRPr="00B27A86" w:rsidRDefault="00245F6F" w:rsidP="00245F6F">
            <w:pPr>
              <w:pStyle w:val="NormalWeb"/>
              <w:tabs>
                <w:tab w:val="left" w:pos="851"/>
              </w:tabs>
              <w:ind w:firstLine="0"/>
              <w:rPr>
                <w:bCs/>
                <w:color w:val="000000"/>
                <w:sz w:val="22"/>
                <w:szCs w:val="22"/>
                <w:lang w:val="ro-MD"/>
              </w:rPr>
            </w:pPr>
            <w:r w:rsidRPr="00B27A86">
              <w:rPr>
                <w:sz w:val="22"/>
                <w:szCs w:val="22"/>
                <w:lang w:val="ro-MD"/>
              </w:rPr>
              <w:t>Recurgerea la o măsură provizorie nu aduce atingere punerii în aplicare a nici unei (nici unor) alte măsuri provizorii, ca alternativă la aceasta sau în completarea ei, cu condiția că astfel de măsuri să vizeze promovarea concurenței și lichiditatea pieței angro a gazelor naturale pe termen scurt și să fie coerente cu principiile generale stabilite în prezentul regulament.</w:t>
            </w:r>
          </w:p>
        </w:tc>
        <w:tc>
          <w:tcPr>
            <w:tcW w:w="1537" w:type="pct"/>
          </w:tcPr>
          <w:p w14:paraId="37093763" w14:textId="2936412E" w:rsidR="00245F6F" w:rsidRPr="00E0423B" w:rsidRDefault="00245F6F" w:rsidP="00245F6F">
            <w:pPr>
              <w:jc w:val="both"/>
              <w:rPr>
                <w:sz w:val="22"/>
                <w:szCs w:val="22"/>
                <w:lang w:val="en-US"/>
              </w:rPr>
            </w:pPr>
            <w:r>
              <w:rPr>
                <w:sz w:val="22"/>
                <w:szCs w:val="22"/>
                <w:lang w:val="en-US"/>
              </w:rPr>
              <w:t>C</w:t>
            </w:r>
            <w:r w:rsidRPr="00E0423B">
              <w:rPr>
                <w:sz w:val="22"/>
                <w:szCs w:val="22"/>
                <w:lang w:val="en-US"/>
              </w:rPr>
              <w:t>uvint</w:t>
            </w:r>
            <w:r>
              <w:rPr>
                <w:sz w:val="22"/>
                <w:szCs w:val="22"/>
                <w:lang w:val="en-US"/>
              </w:rPr>
              <w:t>ele „în prezentul regulament„ de</w:t>
            </w:r>
            <w:r w:rsidRPr="00E0423B">
              <w:rPr>
                <w:sz w:val="22"/>
                <w:szCs w:val="22"/>
                <w:lang w:val="en-US"/>
              </w:rPr>
              <w:t xml:space="preserve"> substitui</w:t>
            </w:r>
            <w:r>
              <w:rPr>
                <w:sz w:val="22"/>
                <w:szCs w:val="22"/>
                <w:lang w:val="en-US"/>
              </w:rPr>
              <w:t>t</w:t>
            </w:r>
            <w:r w:rsidRPr="00E0423B">
              <w:rPr>
                <w:sz w:val="22"/>
                <w:szCs w:val="22"/>
                <w:lang w:val="en-US"/>
              </w:rPr>
              <w:t xml:space="preserve"> cu cuvintele „în prezentul Cod”.</w:t>
            </w:r>
          </w:p>
          <w:p w14:paraId="51AD928F" w14:textId="77777777" w:rsidR="00245F6F" w:rsidRPr="006A5D70" w:rsidRDefault="00245F6F" w:rsidP="00245F6F">
            <w:pPr>
              <w:jc w:val="both"/>
              <w:rPr>
                <w:b/>
                <w:sz w:val="22"/>
                <w:szCs w:val="22"/>
                <w:lang w:val="ro-RO"/>
              </w:rPr>
            </w:pPr>
          </w:p>
        </w:tc>
        <w:tc>
          <w:tcPr>
            <w:cnfStyle w:val="000100000000" w:firstRow="0" w:lastRow="0" w:firstColumn="0" w:lastColumn="1" w:oddVBand="0" w:evenVBand="0" w:oddHBand="0" w:evenHBand="0" w:firstRowFirstColumn="0" w:firstRowLastColumn="0" w:lastRowFirstColumn="0" w:lastRowLastColumn="0"/>
            <w:tcW w:w="1060" w:type="pct"/>
          </w:tcPr>
          <w:p w14:paraId="0ADC5AB5" w14:textId="21701209" w:rsidR="00245F6F" w:rsidRPr="006A5D70" w:rsidRDefault="00245F6F" w:rsidP="00245F6F">
            <w:pPr>
              <w:jc w:val="both"/>
              <w:rPr>
                <w:sz w:val="22"/>
                <w:szCs w:val="22"/>
                <w:highlight w:val="yellow"/>
                <w:lang w:val="ro-MD"/>
              </w:rPr>
            </w:pPr>
            <w:r w:rsidRPr="00D1605E">
              <w:rPr>
                <w:sz w:val="22"/>
                <w:szCs w:val="22"/>
                <w:lang w:val="ro-MD"/>
              </w:rPr>
              <w:t>Se acceptă</w:t>
            </w:r>
          </w:p>
        </w:tc>
      </w:tr>
      <w:tr w:rsidR="00245F6F" w:rsidRPr="00511A6A" w14:paraId="4024488B" w14:textId="77777777" w:rsidTr="006A5D70">
        <w:trPr>
          <w:trHeight w:val="70"/>
        </w:trPr>
        <w:tc>
          <w:tcPr>
            <w:tcW w:w="339" w:type="pct"/>
          </w:tcPr>
          <w:p w14:paraId="24788FAB" w14:textId="77777777" w:rsidR="00245F6F" w:rsidRPr="00E92B51" w:rsidRDefault="00245F6F" w:rsidP="00245F6F">
            <w:pPr>
              <w:rPr>
                <w:b/>
                <w:sz w:val="22"/>
                <w:szCs w:val="22"/>
                <w:lang w:val="ro-RO"/>
              </w:rPr>
            </w:pPr>
          </w:p>
        </w:tc>
        <w:tc>
          <w:tcPr>
            <w:tcW w:w="536" w:type="pct"/>
          </w:tcPr>
          <w:p w14:paraId="402C4F24" w14:textId="77777777" w:rsidR="00245F6F" w:rsidRPr="006A5D70" w:rsidRDefault="00245F6F" w:rsidP="00245F6F">
            <w:pPr>
              <w:rPr>
                <w:sz w:val="22"/>
                <w:szCs w:val="22"/>
                <w:lang w:val="en-GB"/>
              </w:rPr>
            </w:pPr>
          </w:p>
        </w:tc>
        <w:tc>
          <w:tcPr>
            <w:tcW w:w="1528" w:type="pct"/>
          </w:tcPr>
          <w:p w14:paraId="7C29C8A8" w14:textId="77777777" w:rsidR="00245F6F" w:rsidRPr="00AD5602" w:rsidRDefault="00245F6F" w:rsidP="00245F6F">
            <w:pPr>
              <w:jc w:val="center"/>
              <w:outlineLvl w:val="0"/>
              <w:rPr>
                <w:bCs/>
                <w:lang w:val="ro-MD"/>
              </w:rPr>
            </w:pPr>
            <w:r w:rsidRPr="00AD5602">
              <w:rPr>
                <w:bCs/>
                <w:lang w:val="ro-MD"/>
              </w:rPr>
              <w:t>CAPITOLUL XI</w:t>
            </w:r>
          </w:p>
          <w:p w14:paraId="6A03C965" w14:textId="77777777" w:rsidR="00245F6F" w:rsidRPr="00AD5602" w:rsidRDefault="00245F6F" w:rsidP="00245F6F">
            <w:pPr>
              <w:jc w:val="center"/>
              <w:rPr>
                <w:bCs/>
                <w:lang w:val="ro-MD"/>
              </w:rPr>
            </w:pPr>
            <w:r w:rsidRPr="00AD5602">
              <w:rPr>
                <w:bCs/>
                <w:lang w:val="ro-MD"/>
              </w:rPr>
              <w:t>DISPOZIȚII FINALE ȘI TRANZITORII</w:t>
            </w:r>
          </w:p>
          <w:p w14:paraId="2E5204FB" w14:textId="77777777" w:rsidR="00245F6F" w:rsidRPr="00AD5602" w:rsidRDefault="00245F6F" w:rsidP="00245F6F">
            <w:pPr>
              <w:jc w:val="center"/>
              <w:rPr>
                <w:bCs/>
                <w:lang w:val="ro-MD"/>
              </w:rPr>
            </w:pPr>
            <w:r w:rsidRPr="00AD5602">
              <w:rPr>
                <w:bCs/>
                <w:lang w:val="ro-MD"/>
              </w:rPr>
              <w:t>Secţiunea 1</w:t>
            </w:r>
          </w:p>
          <w:p w14:paraId="1B95CA22" w14:textId="77777777" w:rsidR="00245F6F" w:rsidRPr="00AD5602" w:rsidRDefault="00245F6F" w:rsidP="00245F6F">
            <w:pPr>
              <w:jc w:val="center"/>
              <w:rPr>
                <w:bCs/>
                <w:lang w:val="ro-MD"/>
              </w:rPr>
            </w:pPr>
            <w:r w:rsidRPr="00AD5602">
              <w:rPr>
                <w:bCs/>
                <w:lang w:val="ro-MD"/>
              </w:rPr>
              <w:t>Eliberarea surplusului de flexibilitate al OST</w:t>
            </w:r>
          </w:p>
          <w:p w14:paraId="7EE4DE82" w14:textId="677760C3" w:rsidR="00245F6F" w:rsidRPr="006A5D70" w:rsidRDefault="00245F6F" w:rsidP="00245F6F">
            <w:pPr>
              <w:pStyle w:val="NormalWeb"/>
              <w:tabs>
                <w:tab w:val="left" w:pos="851"/>
              </w:tabs>
              <w:ind w:firstLine="0"/>
              <w:rPr>
                <w:bCs/>
                <w:color w:val="000000"/>
                <w:sz w:val="22"/>
                <w:szCs w:val="22"/>
                <w:lang w:val="ro-MD"/>
              </w:rPr>
            </w:pPr>
          </w:p>
        </w:tc>
        <w:tc>
          <w:tcPr>
            <w:tcW w:w="1537" w:type="pct"/>
          </w:tcPr>
          <w:p w14:paraId="2D39178A" w14:textId="32D54ADB" w:rsidR="00245F6F" w:rsidRPr="00AD5602" w:rsidRDefault="00245F6F" w:rsidP="00245F6F">
            <w:pPr>
              <w:jc w:val="both"/>
              <w:rPr>
                <w:sz w:val="22"/>
                <w:szCs w:val="22"/>
                <w:lang w:val="en-US"/>
              </w:rPr>
            </w:pPr>
            <w:r w:rsidRPr="0046618F">
              <w:rPr>
                <w:sz w:val="22"/>
                <w:szCs w:val="22"/>
                <w:lang w:val="en-US"/>
              </w:rPr>
              <w:t>Denumirea capitolului XI de reformulat, or, dispoziţiile finale cuprind momentul intrării în vigoare şi măsurile necesare punerii în aplicare a actului normativ, iar dispoziţiile tranzitorii cuprind măsurile ce se instituie cu privire la continuarea raporturilor juridice născute în temeiul vechilor reglementări care urmează a fi abrogate sau înlocuite de noul act normativ.</w:t>
            </w:r>
          </w:p>
        </w:tc>
        <w:tc>
          <w:tcPr>
            <w:cnfStyle w:val="000100000000" w:firstRow="0" w:lastRow="0" w:firstColumn="0" w:lastColumn="1" w:oddVBand="0" w:evenVBand="0" w:oddHBand="0" w:evenHBand="0" w:firstRowFirstColumn="0" w:firstRowLastColumn="0" w:lastRowFirstColumn="0" w:lastRowLastColumn="0"/>
            <w:tcW w:w="1060" w:type="pct"/>
          </w:tcPr>
          <w:p w14:paraId="0248DBC8" w14:textId="77777777" w:rsidR="00245F6F" w:rsidRPr="006A5D70" w:rsidRDefault="00245F6F" w:rsidP="00245F6F">
            <w:pPr>
              <w:jc w:val="both"/>
              <w:rPr>
                <w:sz w:val="22"/>
                <w:szCs w:val="22"/>
                <w:highlight w:val="yellow"/>
                <w:lang w:val="ro-MD"/>
              </w:rPr>
            </w:pPr>
          </w:p>
        </w:tc>
      </w:tr>
      <w:tr w:rsidR="00245F6F" w:rsidRPr="00511A6A" w14:paraId="55AFC86A" w14:textId="77777777" w:rsidTr="006A5D70">
        <w:trPr>
          <w:trHeight w:val="70"/>
        </w:trPr>
        <w:tc>
          <w:tcPr>
            <w:tcW w:w="339" w:type="pct"/>
          </w:tcPr>
          <w:p w14:paraId="35D0FD2E" w14:textId="16877903" w:rsidR="00245F6F" w:rsidRDefault="00245F6F" w:rsidP="00245F6F">
            <w:pPr>
              <w:rPr>
                <w:sz w:val="22"/>
                <w:szCs w:val="22"/>
                <w:lang w:val="ro-RO"/>
              </w:rPr>
            </w:pPr>
            <w:r>
              <w:rPr>
                <w:sz w:val="22"/>
                <w:szCs w:val="22"/>
                <w:lang w:val="ro-RO"/>
              </w:rPr>
              <w:lastRenderedPageBreak/>
              <w:t>Sub.4)</w:t>
            </w:r>
          </w:p>
          <w:p w14:paraId="6BBE38F1" w14:textId="5D5C37AE" w:rsidR="00245F6F" w:rsidRPr="00E92B51" w:rsidRDefault="00245F6F" w:rsidP="00245F6F">
            <w:pPr>
              <w:rPr>
                <w:sz w:val="22"/>
                <w:szCs w:val="22"/>
                <w:lang w:val="ro-RO"/>
              </w:rPr>
            </w:pPr>
            <w:r w:rsidRPr="00E92B51">
              <w:rPr>
                <w:sz w:val="22"/>
                <w:szCs w:val="22"/>
                <w:lang w:val="ro-RO"/>
              </w:rPr>
              <w:t>Pct.444,</w:t>
            </w:r>
          </w:p>
          <w:p w14:paraId="2A9FD0D4" w14:textId="6DD7BF91" w:rsidR="00245F6F" w:rsidRPr="00E92B51" w:rsidRDefault="00245F6F" w:rsidP="00245F6F">
            <w:pPr>
              <w:rPr>
                <w:sz w:val="22"/>
                <w:szCs w:val="22"/>
                <w:lang w:val="ro-RO"/>
              </w:rPr>
            </w:pPr>
            <w:r w:rsidRPr="00E92B51">
              <w:rPr>
                <w:sz w:val="22"/>
                <w:szCs w:val="22"/>
                <w:lang w:val="ro-RO"/>
              </w:rPr>
              <w:t>Pct.445</w:t>
            </w:r>
          </w:p>
        </w:tc>
        <w:tc>
          <w:tcPr>
            <w:tcW w:w="536" w:type="pct"/>
          </w:tcPr>
          <w:p w14:paraId="501B24E3" w14:textId="77777777" w:rsidR="00245F6F" w:rsidRPr="006A5D70" w:rsidRDefault="00245F6F" w:rsidP="00245F6F">
            <w:pPr>
              <w:rPr>
                <w:sz w:val="22"/>
                <w:szCs w:val="22"/>
                <w:lang w:val="en-GB"/>
              </w:rPr>
            </w:pPr>
          </w:p>
        </w:tc>
        <w:tc>
          <w:tcPr>
            <w:tcW w:w="1528" w:type="pct"/>
          </w:tcPr>
          <w:p w14:paraId="3C630A6E" w14:textId="77777777" w:rsidR="00245F6F" w:rsidRPr="006A5D70" w:rsidRDefault="00245F6F" w:rsidP="00245F6F">
            <w:pPr>
              <w:pStyle w:val="NormalWeb"/>
              <w:tabs>
                <w:tab w:val="left" w:pos="851"/>
              </w:tabs>
              <w:ind w:firstLine="0"/>
              <w:rPr>
                <w:bCs/>
                <w:color w:val="000000"/>
                <w:sz w:val="22"/>
                <w:szCs w:val="22"/>
                <w:lang w:val="ro-MD"/>
              </w:rPr>
            </w:pPr>
          </w:p>
        </w:tc>
        <w:tc>
          <w:tcPr>
            <w:tcW w:w="1537" w:type="pct"/>
          </w:tcPr>
          <w:p w14:paraId="3E94025E" w14:textId="5FB6F11C" w:rsidR="00245F6F" w:rsidRPr="006A5D70" w:rsidRDefault="00245F6F" w:rsidP="00245F6F">
            <w:pPr>
              <w:jc w:val="both"/>
              <w:rPr>
                <w:b/>
                <w:sz w:val="22"/>
                <w:szCs w:val="22"/>
                <w:lang w:val="ro-RO"/>
              </w:rPr>
            </w:pPr>
            <w:r>
              <w:rPr>
                <w:sz w:val="22"/>
                <w:szCs w:val="22"/>
                <w:lang w:val="fr-FR"/>
              </w:rPr>
              <w:t>Di</w:t>
            </w:r>
            <w:r w:rsidRPr="00E0423B">
              <w:rPr>
                <w:sz w:val="22"/>
                <w:szCs w:val="22"/>
                <w:lang w:val="fr-FR"/>
              </w:rPr>
              <w:t>n proiect semnalăm că punctele 444 și 445 stabilesc norme de dispoziție și urmează a fi plasate în textul hotărîrii.</w:t>
            </w:r>
          </w:p>
        </w:tc>
        <w:tc>
          <w:tcPr>
            <w:cnfStyle w:val="000100000000" w:firstRow="0" w:lastRow="0" w:firstColumn="0" w:lastColumn="1" w:oddVBand="0" w:evenVBand="0" w:oddHBand="0" w:evenHBand="0" w:firstRowFirstColumn="0" w:firstRowLastColumn="0" w:lastRowFirstColumn="0" w:lastRowLastColumn="0"/>
            <w:tcW w:w="1060" w:type="pct"/>
          </w:tcPr>
          <w:p w14:paraId="4F2B92E9" w14:textId="6F664EA1" w:rsidR="00245F6F" w:rsidRPr="006A5D70" w:rsidRDefault="00AD5602" w:rsidP="00AD5602">
            <w:pPr>
              <w:jc w:val="both"/>
              <w:rPr>
                <w:sz w:val="22"/>
                <w:szCs w:val="22"/>
                <w:highlight w:val="yellow"/>
                <w:lang w:val="ro-MD"/>
              </w:rPr>
            </w:pPr>
            <w:r w:rsidRPr="00AD5602">
              <w:rPr>
                <w:sz w:val="22"/>
                <w:szCs w:val="22"/>
                <w:lang w:val="ro-MD"/>
              </w:rPr>
              <w:t xml:space="preserve">Nu se acceptă. </w:t>
            </w:r>
            <w:r>
              <w:rPr>
                <w:b w:val="0"/>
                <w:sz w:val="22"/>
                <w:szCs w:val="22"/>
                <w:lang w:val="ro-MD"/>
              </w:rPr>
              <w:t>Pct</w:t>
            </w:r>
            <w:r w:rsidRPr="00AD5602">
              <w:rPr>
                <w:b w:val="0"/>
                <w:sz w:val="22"/>
                <w:szCs w:val="22"/>
                <w:lang w:val="ro-MD"/>
              </w:rPr>
              <w:t xml:space="preserve">. 444 și 445 nu stabilesc norme de dipoziție dar mai cu seama norme </w:t>
            </w:r>
            <w:r>
              <w:rPr>
                <w:b w:val="0"/>
                <w:sz w:val="22"/>
                <w:szCs w:val="22"/>
                <w:lang w:val="ro-MD"/>
              </w:rPr>
              <w:t>permisive în baza cărora</w:t>
            </w:r>
            <w:r w:rsidRPr="00AD5602">
              <w:rPr>
                <w:b w:val="0"/>
                <w:sz w:val="22"/>
                <w:szCs w:val="22"/>
                <w:lang w:val="ro-MD"/>
              </w:rPr>
              <w:t xml:space="preserve"> OST, la discreția sa </w:t>
            </w:r>
            <w:r>
              <w:rPr>
                <w:b w:val="0"/>
                <w:sz w:val="22"/>
                <w:szCs w:val="22"/>
                <w:lang w:val="ro-MD"/>
              </w:rPr>
              <w:t xml:space="preserve">poate </w:t>
            </w:r>
            <w:r w:rsidRPr="00AD5602">
              <w:rPr>
                <w:b w:val="0"/>
                <w:sz w:val="22"/>
                <w:szCs w:val="22"/>
                <w:lang w:val="ro-MD"/>
              </w:rPr>
              <w:t>beneficia în anumite condiții de derogare de la aplicarea Titlului V</w:t>
            </w:r>
            <w:r w:rsidRPr="00AD5602">
              <w:rPr>
                <w:b w:val="0"/>
                <w:sz w:val="22"/>
                <w:szCs w:val="22"/>
                <w:vertAlign w:val="superscript"/>
                <w:lang w:val="ro-MD"/>
              </w:rPr>
              <w:t>1</w:t>
            </w:r>
            <w:r w:rsidRPr="00AD5602">
              <w:rPr>
                <w:b w:val="0"/>
                <w:sz w:val="22"/>
                <w:szCs w:val="22"/>
                <w:lang w:val="ro-MD"/>
              </w:rPr>
              <w:t>.</w:t>
            </w:r>
          </w:p>
        </w:tc>
      </w:tr>
      <w:tr w:rsidR="0046618F" w:rsidRPr="005448F3" w14:paraId="466D0173" w14:textId="77777777" w:rsidTr="0046618F">
        <w:trPr>
          <w:cnfStyle w:val="010000000000" w:firstRow="0" w:lastRow="1" w:firstColumn="0" w:lastColumn="0" w:oddVBand="0" w:evenVBand="0" w:oddHBand="0" w:evenHBand="0" w:firstRowFirstColumn="0" w:firstRowLastColumn="0" w:lastRowFirstColumn="0" w:lastRowLastColumn="0"/>
          <w:trHeight w:val="70"/>
        </w:trPr>
        <w:tc>
          <w:tcPr>
            <w:tcW w:w="339" w:type="pct"/>
          </w:tcPr>
          <w:p w14:paraId="229DFFE0" w14:textId="77777777" w:rsidR="0046618F" w:rsidRPr="006A5D70" w:rsidRDefault="0046618F" w:rsidP="00245F6F">
            <w:pPr>
              <w:rPr>
                <w:b w:val="0"/>
                <w:sz w:val="22"/>
                <w:szCs w:val="22"/>
                <w:lang w:val="ro-RO"/>
              </w:rPr>
            </w:pPr>
          </w:p>
        </w:tc>
        <w:tc>
          <w:tcPr>
            <w:tcW w:w="536" w:type="pct"/>
          </w:tcPr>
          <w:p w14:paraId="226DEC20" w14:textId="77777777" w:rsidR="0046618F" w:rsidRPr="006A5D70" w:rsidRDefault="0046618F" w:rsidP="00245F6F">
            <w:pPr>
              <w:rPr>
                <w:sz w:val="22"/>
                <w:szCs w:val="22"/>
                <w:lang w:val="en-GB"/>
              </w:rPr>
            </w:pPr>
          </w:p>
        </w:tc>
        <w:tc>
          <w:tcPr>
            <w:tcW w:w="3065" w:type="pct"/>
            <w:gridSpan w:val="2"/>
          </w:tcPr>
          <w:p w14:paraId="4D9F1CCE" w14:textId="185BD6F8" w:rsidR="0046618F" w:rsidRPr="0025073D" w:rsidRDefault="0046618F" w:rsidP="00245F6F">
            <w:pPr>
              <w:jc w:val="both"/>
              <w:rPr>
                <w:b w:val="0"/>
                <w:sz w:val="22"/>
                <w:szCs w:val="22"/>
                <w:lang w:val="ro-RO"/>
              </w:rPr>
            </w:pPr>
            <w:r w:rsidRPr="0025073D">
              <w:rPr>
                <w:b w:val="0"/>
                <w:sz w:val="22"/>
                <w:szCs w:val="22"/>
                <w:lang w:val="en-US"/>
              </w:rPr>
              <w:t xml:space="preserve">Numerotarea elementelor structurale se va efectua conform art. 52 din </w:t>
            </w:r>
            <w:r w:rsidRPr="0025073D">
              <w:rPr>
                <w:b w:val="0"/>
                <w:i/>
                <w:sz w:val="22"/>
                <w:szCs w:val="22"/>
                <w:lang w:val="en-US"/>
              </w:rPr>
              <w:t>Legea nr. 100/2017</w:t>
            </w:r>
            <w:r w:rsidRPr="0025073D">
              <w:rPr>
                <w:b w:val="0"/>
                <w:i/>
                <w:color w:val="000000"/>
                <w:sz w:val="22"/>
                <w:szCs w:val="22"/>
                <w:lang w:val="en-US"/>
              </w:rPr>
              <w:t xml:space="preserve">, </w:t>
            </w:r>
            <w:r w:rsidRPr="0025073D">
              <w:rPr>
                <w:b w:val="0"/>
                <w:sz w:val="22"/>
                <w:szCs w:val="22"/>
                <w:lang w:val="en-US"/>
              </w:rPr>
              <w:t xml:space="preserve">potrivit căruia, </w:t>
            </w:r>
            <w:r w:rsidRPr="0025073D">
              <w:rPr>
                <w:b w:val="0"/>
                <w:color w:val="000000"/>
                <w:sz w:val="22"/>
                <w:szCs w:val="22"/>
                <w:lang w:val="en-US"/>
              </w:rPr>
              <w:t>punctele se divid în subpuncte şi în alineate. Subpunctele se numerotează cu cifre arabe şi o paranteză şi pot avea diviziuni numerotate cu litere latine şi o paranteză, fără utilizarea semnelor grafice. Adițional, se va ține cont că, Secțiunile reprezintă elemente de structură complexe ale actului normativ și nu pot fi constituite dintr-un sin</w:t>
            </w:r>
            <w:r>
              <w:rPr>
                <w:b w:val="0"/>
                <w:color w:val="000000"/>
                <w:sz w:val="22"/>
                <w:szCs w:val="22"/>
                <w:lang w:val="en-US"/>
              </w:rPr>
              <w:t>g</w:t>
            </w:r>
            <w:r w:rsidRPr="0025073D">
              <w:rPr>
                <w:b w:val="0"/>
                <w:color w:val="000000"/>
                <w:sz w:val="22"/>
                <w:szCs w:val="22"/>
                <w:lang w:val="en-US"/>
              </w:rPr>
              <w:t>ur punct. La fel, Capitolele nu pot fi constituite dintr-o singură Secțiune.</w:t>
            </w:r>
          </w:p>
        </w:tc>
        <w:tc>
          <w:tcPr>
            <w:cnfStyle w:val="000100000000" w:firstRow="0" w:lastRow="0" w:firstColumn="0" w:lastColumn="1" w:oddVBand="0" w:evenVBand="0" w:oddHBand="0" w:evenHBand="0" w:firstRowFirstColumn="0" w:firstRowLastColumn="0" w:lastRowFirstColumn="0" w:lastRowLastColumn="0"/>
            <w:tcW w:w="1060" w:type="pct"/>
          </w:tcPr>
          <w:p w14:paraId="6C20EE90" w14:textId="2E9C6C17" w:rsidR="0046618F" w:rsidRPr="006A5D70" w:rsidRDefault="0046618F" w:rsidP="00245F6F">
            <w:pPr>
              <w:jc w:val="both"/>
              <w:rPr>
                <w:sz w:val="22"/>
                <w:szCs w:val="22"/>
                <w:highlight w:val="yellow"/>
                <w:lang w:val="ro-MD"/>
              </w:rPr>
            </w:pPr>
            <w:r w:rsidRPr="0046618F">
              <w:rPr>
                <w:sz w:val="22"/>
                <w:szCs w:val="22"/>
                <w:lang w:val="ro-MD"/>
              </w:rPr>
              <w:t>Se acceptă.</w:t>
            </w:r>
          </w:p>
        </w:tc>
      </w:tr>
    </w:tbl>
    <w:p w14:paraId="1AE421D0" w14:textId="77777777" w:rsidR="006A5D70" w:rsidRPr="006A5D70" w:rsidRDefault="006A5D70" w:rsidP="00BB1A04">
      <w:pPr>
        <w:shd w:val="clear" w:color="auto" w:fill="FFFFFF" w:themeFill="background1"/>
        <w:jc w:val="both"/>
        <w:rPr>
          <w:sz w:val="22"/>
          <w:szCs w:val="22"/>
          <w:lang w:val="en-GB"/>
        </w:rPr>
      </w:pPr>
    </w:p>
    <w:sectPr w:rsidR="006A5D70" w:rsidRPr="006A5D70" w:rsidSect="0028443E">
      <w:footerReference w:type="default" r:id="rId8"/>
      <w:pgSz w:w="16838" w:h="11906" w:orient="landscape"/>
      <w:pgMar w:top="567" w:right="1134" w:bottom="851" w:left="1134"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B7B7C1" w16cid:durableId="231D81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225F9" w14:textId="77777777" w:rsidR="00412F59" w:rsidRDefault="00412F59" w:rsidP="0028443E">
      <w:r>
        <w:separator/>
      </w:r>
    </w:p>
  </w:endnote>
  <w:endnote w:type="continuationSeparator" w:id="0">
    <w:p w14:paraId="2E51BE55" w14:textId="77777777" w:rsidR="00412F59" w:rsidRDefault="00412F59" w:rsidP="00284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David">
    <w:charset w:val="B1"/>
    <w:family w:val="swiss"/>
    <w:pitch w:val="variable"/>
    <w:sig w:usb0="00000803" w:usb1="00000000" w:usb2="00000000" w:usb3="00000000" w:csb0="0000002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196428"/>
      <w:docPartObj>
        <w:docPartGallery w:val="Page Numbers (Bottom of Page)"/>
        <w:docPartUnique/>
      </w:docPartObj>
    </w:sdtPr>
    <w:sdtEndPr>
      <w:rPr>
        <w:i/>
        <w:noProof/>
        <w:sz w:val="22"/>
        <w:szCs w:val="22"/>
      </w:rPr>
    </w:sdtEndPr>
    <w:sdtContent>
      <w:p w14:paraId="5CD07B81" w14:textId="123F820A" w:rsidR="00B07DA0" w:rsidRPr="0028443E" w:rsidRDefault="00B07DA0">
        <w:pPr>
          <w:pStyle w:val="Footer"/>
          <w:jc w:val="right"/>
          <w:rPr>
            <w:i/>
            <w:sz w:val="22"/>
            <w:szCs w:val="22"/>
          </w:rPr>
        </w:pPr>
        <w:r w:rsidRPr="0028443E">
          <w:rPr>
            <w:i/>
            <w:sz w:val="22"/>
            <w:szCs w:val="22"/>
          </w:rPr>
          <w:fldChar w:fldCharType="begin"/>
        </w:r>
        <w:r w:rsidRPr="0028443E">
          <w:rPr>
            <w:i/>
            <w:sz w:val="22"/>
            <w:szCs w:val="22"/>
          </w:rPr>
          <w:instrText xml:space="preserve"> PAGE   \* MERGEFORMAT </w:instrText>
        </w:r>
        <w:r w:rsidRPr="0028443E">
          <w:rPr>
            <w:i/>
            <w:sz w:val="22"/>
            <w:szCs w:val="22"/>
          </w:rPr>
          <w:fldChar w:fldCharType="separate"/>
        </w:r>
        <w:r w:rsidR="00511A6A">
          <w:rPr>
            <w:i/>
            <w:noProof/>
            <w:sz w:val="22"/>
            <w:szCs w:val="22"/>
          </w:rPr>
          <w:t>12</w:t>
        </w:r>
        <w:r w:rsidRPr="0028443E">
          <w:rPr>
            <w:i/>
            <w:noProof/>
            <w:sz w:val="22"/>
            <w:szCs w:val="22"/>
          </w:rPr>
          <w:fldChar w:fldCharType="end"/>
        </w:r>
      </w:p>
    </w:sdtContent>
  </w:sdt>
  <w:p w14:paraId="451EE0A0" w14:textId="77777777" w:rsidR="00B07DA0" w:rsidRDefault="00B07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A5988" w14:textId="77777777" w:rsidR="00412F59" w:rsidRDefault="00412F59" w:rsidP="0028443E">
      <w:r>
        <w:separator/>
      </w:r>
    </w:p>
  </w:footnote>
  <w:footnote w:type="continuationSeparator" w:id="0">
    <w:p w14:paraId="63A47AA6" w14:textId="77777777" w:rsidR="00412F59" w:rsidRDefault="00412F59" w:rsidP="00284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F8B"/>
    <w:multiLevelType w:val="hybridMultilevel"/>
    <w:tmpl w:val="EAB85C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860870"/>
    <w:multiLevelType w:val="hybridMultilevel"/>
    <w:tmpl w:val="CF6AA538"/>
    <w:lvl w:ilvl="0" w:tplc="04180011">
      <w:start w:val="1"/>
      <w:numFmt w:val="decimal"/>
      <w:lvlText w:val="%1)"/>
      <w:lvlJc w:val="left"/>
      <w:pPr>
        <w:ind w:left="1713" w:hanging="360"/>
      </w:pPr>
    </w:lvl>
    <w:lvl w:ilvl="1" w:tplc="04180019" w:tentative="1">
      <w:start w:val="1"/>
      <w:numFmt w:val="lowerLetter"/>
      <w:lvlText w:val="%2."/>
      <w:lvlJc w:val="left"/>
      <w:pPr>
        <w:ind w:left="2433" w:hanging="360"/>
      </w:pPr>
    </w:lvl>
    <w:lvl w:ilvl="2" w:tplc="0418001B" w:tentative="1">
      <w:start w:val="1"/>
      <w:numFmt w:val="lowerRoman"/>
      <w:lvlText w:val="%3."/>
      <w:lvlJc w:val="right"/>
      <w:pPr>
        <w:ind w:left="3153" w:hanging="180"/>
      </w:pPr>
    </w:lvl>
    <w:lvl w:ilvl="3" w:tplc="0418000F" w:tentative="1">
      <w:start w:val="1"/>
      <w:numFmt w:val="decimal"/>
      <w:lvlText w:val="%4."/>
      <w:lvlJc w:val="left"/>
      <w:pPr>
        <w:ind w:left="3873" w:hanging="360"/>
      </w:pPr>
    </w:lvl>
    <w:lvl w:ilvl="4" w:tplc="04180019" w:tentative="1">
      <w:start w:val="1"/>
      <w:numFmt w:val="lowerLetter"/>
      <w:lvlText w:val="%5."/>
      <w:lvlJc w:val="left"/>
      <w:pPr>
        <w:ind w:left="4593" w:hanging="360"/>
      </w:pPr>
    </w:lvl>
    <w:lvl w:ilvl="5" w:tplc="0418001B" w:tentative="1">
      <w:start w:val="1"/>
      <w:numFmt w:val="lowerRoman"/>
      <w:lvlText w:val="%6."/>
      <w:lvlJc w:val="right"/>
      <w:pPr>
        <w:ind w:left="5313" w:hanging="180"/>
      </w:pPr>
    </w:lvl>
    <w:lvl w:ilvl="6" w:tplc="0418000F" w:tentative="1">
      <w:start w:val="1"/>
      <w:numFmt w:val="decimal"/>
      <w:lvlText w:val="%7."/>
      <w:lvlJc w:val="left"/>
      <w:pPr>
        <w:ind w:left="6033" w:hanging="360"/>
      </w:pPr>
    </w:lvl>
    <w:lvl w:ilvl="7" w:tplc="04180019" w:tentative="1">
      <w:start w:val="1"/>
      <w:numFmt w:val="lowerLetter"/>
      <w:lvlText w:val="%8."/>
      <w:lvlJc w:val="left"/>
      <w:pPr>
        <w:ind w:left="6753" w:hanging="360"/>
      </w:pPr>
    </w:lvl>
    <w:lvl w:ilvl="8" w:tplc="0418001B" w:tentative="1">
      <w:start w:val="1"/>
      <w:numFmt w:val="lowerRoman"/>
      <w:lvlText w:val="%9."/>
      <w:lvlJc w:val="right"/>
      <w:pPr>
        <w:ind w:left="7473" w:hanging="180"/>
      </w:pPr>
    </w:lvl>
  </w:abstractNum>
  <w:abstractNum w:abstractNumId="2" w15:restartNumberingAfterBreak="0">
    <w:nsid w:val="03EA452F"/>
    <w:multiLevelType w:val="hybridMultilevel"/>
    <w:tmpl w:val="51627508"/>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62"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56D5647"/>
    <w:multiLevelType w:val="hybridMultilevel"/>
    <w:tmpl w:val="50C05C40"/>
    <w:lvl w:ilvl="0" w:tplc="CE3A3134">
      <w:start w:val="15"/>
      <w:numFmt w:val="bullet"/>
      <w:lvlText w:val="-"/>
      <w:lvlJc w:val="left"/>
      <w:pPr>
        <w:ind w:left="1004" w:hanging="360"/>
      </w:pPr>
      <w:rPr>
        <w:rFonts w:ascii="Times New Roman" w:eastAsiaTheme="minorHAns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070E6536"/>
    <w:multiLevelType w:val="hybridMultilevel"/>
    <w:tmpl w:val="BDB4473C"/>
    <w:lvl w:ilvl="0" w:tplc="87507F48">
      <w:start w:val="1"/>
      <w:numFmt w:val="decimal"/>
      <w:lvlText w:val="%1."/>
      <w:lvlJc w:val="left"/>
      <w:pPr>
        <w:ind w:left="2160" w:hanging="360"/>
      </w:pPr>
      <w:rPr>
        <w:rFonts w:ascii="Times New Roman" w:hAnsi="Times New Roman" w:cs="Times New Roman" w:hint="default"/>
        <w:b w:val="0"/>
        <w:strike w:val="0"/>
        <w:color w:val="auto"/>
        <w:sz w:val="24"/>
      </w:rPr>
    </w:lvl>
    <w:lvl w:ilvl="1" w:tplc="F5882AC6">
      <w:start w:val="1"/>
      <w:numFmt w:val="lowerLetter"/>
      <w:lvlText w:val="%2)"/>
      <w:lvlJc w:val="left"/>
      <w:pPr>
        <w:ind w:left="5635" w:hanging="360"/>
      </w:pPr>
      <w:rPr>
        <w:rFonts w:cs="Times New Roman" w:hint="default"/>
      </w:rPr>
    </w:lvl>
    <w:lvl w:ilvl="2" w:tplc="F48680AC">
      <w:numFmt w:val="bullet"/>
      <w:lvlText w:val="-"/>
      <w:lvlJc w:val="left"/>
      <w:pPr>
        <w:ind w:left="6535" w:hanging="360"/>
      </w:pPr>
      <w:rPr>
        <w:rFonts w:ascii="Times New Roman" w:eastAsia="Times New Roman" w:hAnsi="Times New Roman" w:hint="default"/>
      </w:rPr>
    </w:lvl>
    <w:lvl w:ilvl="3" w:tplc="0419000F">
      <w:start w:val="1"/>
      <w:numFmt w:val="decimal"/>
      <w:lvlText w:val="%4."/>
      <w:lvlJc w:val="left"/>
      <w:pPr>
        <w:ind w:left="7075" w:hanging="360"/>
      </w:pPr>
      <w:rPr>
        <w:rFonts w:cs="Times New Roman"/>
      </w:rPr>
    </w:lvl>
    <w:lvl w:ilvl="4" w:tplc="04190019" w:tentative="1">
      <w:start w:val="1"/>
      <w:numFmt w:val="lowerLetter"/>
      <w:lvlText w:val="%5."/>
      <w:lvlJc w:val="left"/>
      <w:pPr>
        <w:ind w:left="7795" w:hanging="360"/>
      </w:pPr>
      <w:rPr>
        <w:rFonts w:cs="Times New Roman"/>
      </w:rPr>
    </w:lvl>
    <w:lvl w:ilvl="5" w:tplc="0419001B" w:tentative="1">
      <w:start w:val="1"/>
      <w:numFmt w:val="lowerRoman"/>
      <w:lvlText w:val="%6."/>
      <w:lvlJc w:val="right"/>
      <w:pPr>
        <w:ind w:left="8515" w:hanging="180"/>
      </w:pPr>
      <w:rPr>
        <w:rFonts w:cs="Times New Roman"/>
      </w:rPr>
    </w:lvl>
    <w:lvl w:ilvl="6" w:tplc="0419000F" w:tentative="1">
      <w:start w:val="1"/>
      <w:numFmt w:val="decimal"/>
      <w:lvlText w:val="%7."/>
      <w:lvlJc w:val="left"/>
      <w:pPr>
        <w:ind w:left="9235" w:hanging="360"/>
      </w:pPr>
      <w:rPr>
        <w:rFonts w:cs="Times New Roman"/>
      </w:rPr>
    </w:lvl>
    <w:lvl w:ilvl="7" w:tplc="04190019" w:tentative="1">
      <w:start w:val="1"/>
      <w:numFmt w:val="lowerLetter"/>
      <w:lvlText w:val="%8."/>
      <w:lvlJc w:val="left"/>
      <w:pPr>
        <w:ind w:left="9955" w:hanging="360"/>
      </w:pPr>
      <w:rPr>
        <w:rFonts w:cs="Times New Roman"/>
      </w:rPr>
    </w:lvl>
    <w:lvl w:ilvl="8" w:tplc="0419001B" w:tentative="1">
      <w:start w:val="1"/>
      <w:numFmt w:val="lowerRoman"/>
      <w:lvlText w:val="%9."/>
      <w:lvlJc w:val="right"/>
      <w:pPr>
        <w:ind w:left="10675" w:hanging="180"/>
      </w:pPr>
      <w:rPr>
        <w:rFonts w:cs="Times New Roman"/>
      </w:rPr>
    </w:lvl>
  </w:abstractNum>
  <w:abstractNum w:abstractNumId="5" w15:restartNumberingAfterBreak="0">
    <w:nsid w:val="0A336722"/>
    <w:multiLevelType w:val="hybridMultilevel"/>
    <w:tmpl w:val="ED10020A"/>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D9C5BAA"/>
    <w:multiLevelType w:val="hybridMultilevel"/>
    <w:tmpl w:val="B7688944"/>
    <w:lvl w:ilvl="0" w:tplc="1BE4436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7A425F"/>
    <w:multiLevelType w:val="hybridMultilevel"/>
    <w:tmpl w:val="609A9372"/>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24E687A"/>
    <w:multiLevelType w:val="hybridMultilevel"/>
    <w:tmpl w:val="49AA8F46"/>
    <w:lvl w:ilvl="0" w:tplc="44E8E226">
      <w:start w:val="8"/>
      <w:numFmt w:val="bullet"/>
      <w:lvlText w:val="-"/>
      <w:lvlJc w:val="left"/>
      <w:pPr>
        <w:ind w:left="900" w:hanging="360"/>
      </w:pPr>
      <w:rPr>
        <w:rFonts w:ascii="Times New Roman" w:eastAsia="Times New Roman" w:hAnsi="Times New Roman" w:cs="Times New Roman" w:hint="default"/>
      </w:rPr>
    </w:lvl>
    <w:lvl w:ilvl="1" w:tplc="04180003" w:tentative="1">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2340" w:hanging="360"/>
      </w:pPr>
      <w:rPr>
        <w:rFonts w:ascii="Wingdings" w:hAnsi="Wingdings" w:hint="default"/>
      </w:rPr>
    </w:lvl>
    <w:lvl w:ilvl="3" w:tplc="04180001" w:tentative="1">
      <w:start w:val="1"/>
      <w:numFmt w:val="bullet"/>
      <w:lvlText w:val=""/>
      <w:lvlJc w:val="left"/>
      <w:pPr>
        <w:ind w:left="3060" w:hanging="360"/>
      </w:pPr>
      <w:rPr>
        <w:rFonts w:ascii="Symbol" w:hAnsi="Symbol" w:hint="default"/>
      </w:rPr>
    </w:lvl>
    <w:lvl w:ilvl="4" w:tplc="04180003" w:tentative="1">
      <w:start w:val="1"/>
      <w:numFmt w:val="bullet"/>
      <w:lvlText w:val="o"/>
      <w:lvlJc w:val="left"/>
      <w:pPr>
        <w:ind w:left="3780" w:hanging="360"/>
      </w:pPr>
      <w:rPr>
        <w:rFonts w:ascii="Courier New" w:hAnsi="Courier New" w:cs="Courier New" w:hint="default"/>
      </w:rPr>
    </w:lvl>
    <w:lvl w:ilvl="5" w:tplc="04180005" w:tentative="1">
      <w:start w:val="1"/>
      <w:numFmt w:val="bullet"/>
      <w:lvlText w:val=""/>
      <w:lvlJc w:val="left"/>
      <w:pPr>
        <w:ind w:left="4500" w:hanging="360"/>
      </w:pPr>
      <w:rPr>
        <w:rFonts w:ascii="Wingdings" w:hAnsi="Wingdings" w:hint="default"/>
      </w:rPr>
    </w:lvl>
    <w:lvl w:ilvl="6" w:tplc="04180001" w:tentative="1">
      <w:start w:val="1"/>
      <w:numFmt w:val="bullet"/>
      <w:lvlText w:val=""/>
      <w:lvlJc w:val="left"/>
      <w:pPr>
        <w:ind w:left="5220" w:hanging="360"/>
      </w:pPr>
      <w:rPr>
        <w:rFonts w:ascii="Symbol" w:hAnsi="Symbol" w:hint="default"/>
      </w:rPr>
    </w:lvl>
    <w:lvl w:ilvl="7" w:tplc="04180003" w:tentative="1">
      <w:start w:val="1"/>
      <w:numFmt w:val="bullet"/>
      <w:lvlText w:val="o"/>
      <w:lvlJc w:val="left"/>
      <w:pPr>
        <w:ind w:left="5940" w:hanging="360"/>
      </w:pPr>
      <w:rPr>
        <w:rFonts w:ascii="Courier New" w:hAnsi="Courier New" w:cs="Courier New" w:hint="default"/>
      </w:rPr>
    </w:lvl>
    <w:lvl w:ilvl="8" w:tplc="04180005" w:tentative="1">
      <w:start w:val="1"/>
      <w:numFmt w:val="bullet"/>
      <w:lvlText w:val=""/>
      <w:lvlJc w:val="left"/>
      <w:pPr>
        <w:ind w:left="6660" w:hanging="360"/>
      </w:pPr>
      <w:rPr>
        <w:rFonts w:ascii="Wingdings" w:hAnsi="Wingdings" w:hint="default"/>
      </w:rPr>
    </w:lvl>
  </w:abstractNum>
  <w:abstractNum w:abstractNumId="9" w15:restartNumberingAfterBreak="0">
    <w:nsid w:val="13B65500"/>
    <w:multiLevelType w:val="hybridMultilevel"/>
    <w:tmpl w:val="50123A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E4A29FD"/>
    <w:multiLevelType w:val="hybridMultilevel"/>
    <w:tmpl w:val="9520697A"/>
    <w:lvl w:ilvl="0" w:tplc="C80C198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F8568BF"/>
    <w:multiLevelType w:val="hybridMultilevel"/>
    <w:tmpl w:val="0510BA94"/>
    <w:lvl w:ilvl="0" w:tplc="9C84F67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2FB2939"/>
    <w:multiLevelType w:val="multilevel"/>
    <w:tmpl w:val="A1B2C7BA"/>
    <w:lvl w:ilvl="0">
      <w:start w:val="1"/>
      <w:numFmt w:val="decimal"/>
      <w:lvlText w:val="%1."/>
      <w:lvlJc w:val="left"/>
      <w:pPr>
        <w:ind w:left="928" w:hanging="360"/>
      </w:pPr>
      <w:rPr>
        <w:b/>
      </w:rPr>
    </w:lvl>
    <w:lvl w:ilvl="1">
      <w:start w:val="1"/>
      <w:numFmt w:val="decimal"/>
      <w:isLgl/>
      <w:lvlText w:val="%1.%2"/>
      <w:lvlJc w:val="left"/>
      <w:pPr>
        <w:ind w:left="1080" w:hanging="360"/>
      </w:pPr>
      <w:rPr>
        <w:rFonts w:hint="default"/>
        <w:b w:val="0"/>
        <w:color w:val="000000"/>
        <w:sz w:val="24"/>
        <w:szCs w:val="24"/>
      </w:rPr>
    </w:lvl>
    <w:lvl w:ilvl="2">
      <w:start w:val="1"/>
      <w:numFmt w:val="decimal"/>
      <w:isLgl/>
      <w:lvlText w:val="%1.%2.%3"/>
      <w:lvlJc w:val="left"/>
      <w:pPr>
        <w:ind w:left="1440" w:hanging="720"/>
      </w:pPr>
      <w:rPr>
        <w:rFonts w:hint="default"/>
        <w:b/>
        <w:strike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3" w15:restartNumberingAfterBreak="0">
    <w:nsid w:val="25FE3BE1"/>
    <w:multiLevelType w:val="hybridMultilevel"/>
    <w:tmpl w:val="C400CED2"/>
    <w:lvl w:ilvl="0" w:tplc="04190001">
      <w:start w:val="1"/>
      <w:numFmt w:val="bullet"/>
      <w:lvlText w:val=""/>
      <w:lvlJc w:val="left"/>
      <w:pPr>
        <w:ind w:left="1997" w:hanging="360"/>
      </w:pPr>
      <w:rPr>
        <w:rFonts w:ascii="Symbol" w:hAnsi="Symbol" w:hint="default"/>
      </w:rPr>
    </w:lvl>
    <w:lvl w:ilvl="1" w:tplc="04190003" w:tentative="1">
      <w:start w:val="1"/>
      <w:numFmt w:val="bullet"/>
      <w:lvlText w:val="o"/>
      <w:lvlJc w:val="left"/>
      <w:pPr>
        <w:ind w:left="2717" w:hanging="360"/>
      </w:pPr>
      <w:rPr>
        <w:rFonts w:ascii="Courier New" w:hAnsi="Courier New" w:cs="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cs="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cs="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14" w15:restartNumberingAfterBreak="0">
    <w:nsid w:val="2CB37BDA"/>
    <w:multiLevelType w:val="hybridMultilevel"/>
    <w:tmpl w:val="3E56E420"/>
    <w:lvl w:ilvl="0" w:tplc="04190001">
      <w:start w:val="1"/>
      <w:numFmt w:val="bullet"/>
      <w:lvlText w:val=""/>
      <w:lvlJc w:val="left"/>
      <w:pPr>
        <w:ind w:left="1287" w:hanging="360"/>
      </w:pPr>
      <w:rPr>
        <w:rFonts w:ascii="Symbol" w:hAnsi="Symbol" w:hint="default"/>
      </w:rPr>
    </w:lvl>
    <w:lvl w:ilvl="1" w:tplc="3E440788">
      <w:numFmt w:val="bullet"/>
      <w:lvlText w:val="-"/>
      <w:lvlJc w:val="left"/>
      <w:pPr>
        <w:ind w:left="907" w:hanging="765"/>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F47766C"/>
    <w:multiLevelType w:val="hybridMultilevel"/>
    <w:tmpl w:val="CF6AA538"/>
    <w:lvl w:ilvl="0" w:tplc="04180011">
      <w:start w:val="1"/>
      <w:numFmt w:val="decimal"/>
      <w:lvlText w:val="%1)"/>
      <w:lvlJc w:val="left"/>
      <w:pPr>
        <w:ind w:left="1713" w:hanging="360"/>
      </w:pPr>
    </w:lvl>
    <w:lvl w:ilvl="1" w:tplc="04180019" w:tentative="1">
      <w:start w:val="1"/>
      <w:numFmt w:val="lowerLetter"/>
      <w:lvlText w:val="%2."/>
      <w:lvlJc w:val="left"/>
      <w:pPr>
        <w:ind w:left="2433" w:hanging="360"/>
      </w:pPr>
    </w:lvl>
    <w:lvl w:ilvl="2" w:tplc="0418001B" w:tentative="1">
      <w:start w:val="1"/>
      <w:numFmt w:val="lowerRoman"/>
      <w:lvlText w:val="%3."/>
      <w:lvlJc w:val="right"/>
      <w:pPr>
        <w:ind w:left="3153" w:hanging="180"/>
      </w:pPr>
    </w:lvl>
    <w:lvl w:ilvl="3" w:tplc="0418000F" w:tentative="1">
      <w:start w:val="1"/>
      <w:numFmt w:val="decimal"/>
      <w:lvlText w:val="%4."/>
      <w:lvlJc w:val="left"/>
      <w:pPr>
        <w:ind w:left="3873" w:hanging="360"/>
      </w:pPr>
    </w:lvl>
    <w:lvl w:ilvl="4" w:tplc="04180019" w:tentative="1">
      <w:start w:val="1"/>
      <w:numFmt w:val="lowerLetter"/>
      <w:lvlText w:val="%5."/>
      <w:lvlJc w:val="left"/>
      <w:pPr>
        <w:ind w:left="4593" w:hanging="360"/>
      </w:pPr>
    </w:lvl>
    <w:lvl w:ilvl="5" w:tplc="0418001B" w:tentative="1">
      <w:start w:val="1"/>
      <w:numFmt w:val="lowerRoman"/>
      <w:lvlText w:val="%6."/>
      <w:lvlJc w:val="right"/>
      <w:pPr>
        <w:ind w:left="5313" w:hanging="180"/>
      </w:pPr>
    </w:lvl>
    <w:lvl w:ilvl="6" w:tplc="0418000F" w:tentative="1">
      <w:start w:val="1"/>
      <w:numFmt w:val="decimal"/>
      <w:lvlText w:val="%7."/>
      <w:lvlJc w:val="left"/>
      <w:pPr>
        <w:ind w:left="6033" w:hanging="360"/>
      </w:pPr>
    </w:lvl>
    <w:lvl w:ilvl="7" w:tplc="04180019" w:tentative="1">
      <w:start w:val="1"/>
      <w:numFmt w:val="lowerLetter"/>
      <w:lvlText w:val="%8."/>
      <w:lvlJc w:val="left"/>
      <w:pPr>
        <w:ind w:left="6753" w:hanging="360"/>
      </w:pPr>
    </w:lvl>
    <w:lvl w:ilvl="8" w:tplc="0418001B" w:tentative="1">
      <w:start w:val="1"/>
      <w:numFmt w:val="lowerRoman"/>
      <w:lvlText w:val="%9."/>
      <w:lvlJc w:val="right"/>
      <w:pPr>
        <w:ind w:left="7473" w:hanging="180"/>
      </w:pPr>
    </w:lvl>
  </w:abstractNum>
  <w:abstractNum w:abstractNumId="16" w15:restartNumberingAfterBreak="0">
    <w:nsid w:val="315B3A9A"/>
    <w:multiLevelType w:val="hybridMultilevel"/>
    <w:tmpl w:val="8D6289E4"/>
    <w:lvl w:ilvl="0" w:tplc="795EA748">
      <w:start w:val="1"/>
      <w:numFmt w:val="decimal"/>
      <w:lvlText w:val="%1)"/>
      <w:lvlJc w:val="left"/>
      <w:pPr>
        <w:ind w:left="1353" w:hanging="360"/>
      </w:pPr>
      <w:rPr>
        <w:b w:val="0"/>
        <w:color w:val="auto"/>
        <w:sz w:val="24"/>
        <w:szCs w:val="24"/>
      </w:rPr>
    </w:lvl>
    <w:lvl w:ilvl="1" w:tplc="E6500EAC">
      <w:start w:val="1"/>
      <w:numFmt w:val="lowerLetter"/>
      <w:lvlText w:val="%2."/>
      <w:lvlJc w:val="left"/>
      <w:pPr>
        <w:ind w:left="1440" w:hanging="360"/>
      </w:pPr>
      <w:rPr>
        <w:i w:val="0"/>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1F95AE8"/>
    <w:multiLevelType w:val="hybridMultilevel"/>
    <w:tmpl w:val="72442454"/>
    <w:lvl w:ilvl="0" w:tplc="CF66124C">
      <w:start w:val="1"/>
      <w:numFmt w:val="decimal"/>
      <w:lvlText w:val="%1)"/>
      <w:lvlJc w:val="left"/>
      <w:pPr>
        <w:ind w:left="1429" w:hanging="360"/>
      </w:pPr>
      <w:rPr>
        <w:rFonts w:cs="Times New Roman"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18" w15:restartNumberingAfterBreak="0">
    <w:nsid w:val="37840633"/>
    <w:multiLevelType w:val="hybridMultilevel"/>
    <w:tmpl w:val="17AC9C42"/>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62"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78C27FE"/>
    <w:multiLevelType w:val="hybridMultilevel"/>
    <w:tmpl w:val="242E4ACA"/>
    <w:lvl w:ilvl="0" w:tplc="0700DD44">
      <w:start w:val="1"/>
      <w:numFmt w:val="decimal"/>
      <w:pStyle w:val="cris"/>
      <w:lvlText w:val="%1."/>
      <w:lvlJc w:val="left"/>
      <w:pPr>
        <w:ind w:left="0" w:firstLine="568"/>
      </w:pPr>
      <w:rPr>
        <w:rFonts w:ascii="Times New Roman" w:hAnsi="Times New Roman" w:cs="Times New Roman" w:hint="default"/>
        <w:b/>
        <w:bCs/>
        <w:i w:val="0"/>
        <w:strike w:val="0"/>
        <w:sz w:val="24"/>
        <w:szCs w:val="24"/>
      </w:rPr>
    </w:lvl>
    <w:lvl w:ilvl="1" w:tplc="04180019" w:tentative="1">
      <w:start w:val="1"/>
      <w:numFmt w:val="lowerLetter"/>
      <w:lvlText w:val="%2."/>
      <w:lvlJc w:val="left"/>
      <w:pPr>
        <w:ind w:left="1223" w:hanging="360"/>
      </w:pPr>
    </w:lvl>
    <w:lvl w:ilvl="2" w:tplc="0418001B" w:tentative="1">
      <w:start w:val="1"/>
      <w:numFmt w:val="lowerRoman"/>
      <w:lvlText w:val="%3."/>
      <w:lvlJc w:val="right"/>
      <w:pPr>
        <w:ind w:left="1943" w:hanging="180"/>
      </w:pPr>
    </w:lvl>
    <w:lvl w:ilvl="3" w:tplc="0418000F" w:tentative="1">
      <w:start w:val="1"/>
      <w:numFmt w:val="decimal"/>
      <w:lvlText w:val="%4."/>
      <w:lvlJc w:val="left"/>
      <w:pPr>
        <w:ind w:left="2663" w:hanging="360"/>
      </w:pPr>
    </w:lvl>
    <w:lvl w:ilvl="4" w:tplc="04180019" w:tentative="1">
      <w:start w:val="1"/>
      <w:numFmt w:val="lowerLetter"/>
      <w:lvlText w:val="%5."/>
      <w:lvlJc w:val="left"/>
      <w:pPr>
        <w:ind w:left="3383" w:hanging="360"/>
      </w:pPr>
    </w:lvl>
    <w:lvl w:ilvl="5" w:tplc="0418001B" w:tentative="1">
      <w:start w:val="1"/>
      <w:numFmt w:val="lowerRoman"/>
      <w:lvlText w:val="%6."/>
      <w:lvlJc w:val="right"/>
      <w:pPr>
        <w:ind w:left="4103" w:hanging="180"/>
      </w:pPr>
    </w:lvl>
    <w:lvl w:ilvl="6" w:tplc="0418000F" w:tentative="1">
      <w:start w:val="1"/>
      <w:numFmt w:val="decimal"/>
      <w:lvlText w:val="%7."/>
      <w:lvlJc w:val="left"/>
      <w:pPr>
        <w:ind w:left="4823" w:hanging="360"/>
      </w:pPr>
    </w:lvl>
    <w:lvl w:ilvl="7" w:tplc="04180019" w:tentative="1">
      <w:start w:val="1"/>
      <w:numFmt w:val="lowerLetter"/>
      <w:lvlText w:val="%8."/>
      <w:lvlJc w:val="left"/>
      <w:pPr>
        <w:ind w:left="5543" w:hanging="360"/>
      </w:pPr>
    </w:lvl>
    <w:lvl w:ilvl="8" w:tplc="0418001B" w:tentative="1">
      <w:start w:val="1"/>
      <w:numFmt w:val="lowerRoman"/>
      <w:lvlText w:val="%9."/>
      <w:lvlJc w:val="right"/>
      <w:pPr>
        <w:ind w:left="6263" w:hanging="180"/>
      </w:pPr>
    </w:lvl>
  </w:abstractNum>
  <w:abstractNum w:abstractNumId="20" w15:restartNumberingAfterBreak="0">
    <w:nsid w:val="3A132D72"/>
    <w:multiLevelType w:val="hybridMultilevel"/>
    <w:tmpl w:val="76A89234"/>
    <w:lvl w:ilvl="0" w:tplc="C80C1980">
      <w:numFmt w:val="bullet"/>
      <w:lvlText w:val="-"/>
      <w:lvlJc w:val="left"/>
      <w:pPr>
        <w:ind w:left="1004" w:hanging="360"/>
      </w:pPr>
      <w:rPr>
        <w:rFonts w:ascii="Times New Roman" w:eastAsiaTheme="minorHAns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15:restartNumberingAfterBreak="0">
    <w:nsid w:val="3A4D4B6F"/>
    <w:multiLevelType w:val="hybridMultilevel"/>
    <w:tmpl w:val="CCE28AC0"/>
    <w:lvl w:ilvl="0" w:tplc="6EECF5FE">
      <w:start w:val="1"/>
      <w:numFmt w:val="decimal"/>
      <w:lvlText w:val="%1)"/>
      <w:lvlJc w:val="left"/>
      <w:pPr>
        <w:ind w:left="541" w:hanging="360"/>
      </w:pPr>
      <w:rPr>
        <w:rFonts w:hint="default"/>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22" w15:restartNumberingAfterBreak="0">
    <w:nsid w:val="3BAB57E0"/>
    <w:multiLevelType w:val="hybridMultilevel"/>
    <w:tmpl w:val="CF6AA538"/>
    <w:lvl w:ilvl="0" w:tplc="04180011">
      <w:start w:val="1"/>
      <w:numFmt w:val="decimal"/>
      <w:lvlText w:val="%1)"/>
      <w:lvlJc w:val="left"/>
      <w:pPr>
        <w:ind w:left="1713" w:hanging="360"/>
      </w:pPr>
    </w:lvl>
    <w:lvl w:ilvl="1" w:tplc="04180019" w:tentative="1">
      <w:start w:val="1"/>
      <w:numFmt w:val="lowerLetter"/>
      <w:lvlText w:val="%2."/>
      <w:lvlJc w:val="left"/>
      <w:pPr>
        <w:ind w:left="2433" w:hanging="360"/>
      </w:pPr>
    </w:lvl>
    <w:lvl w:ilvl="2" w:tplc="0418001B" w:tentative="1">
      <w:start w:val="1"/>
      <w:numFmt w:val="lowerRoman"/>
      <w:lvlText w:val="%3."/>
      <w:lvlJc w:val="right"/>
      <w:pPr>
        <w:ind w:left="3153" w:hanging="180"/>
      </w:pPr>
    </w:lvl>
    <w:lvl w:ilvl="3" w:tplc="0418000F" w:tentative="1">
      <w:start w:val="1"/>
      <w:numFmt w:val="decimal"/>
      <w:lvlText w:val="%4."/>
      <w:lvlJc w:val="left"/>
      <w:pPr>
        <w:ind w:left="3873" w:hanging="360"/>
      </w:pPr>
    </w:lvl>
    <w:lvl w:ilvl="4" w:tplc="04180019" w:tentative="1">
      <w:start w:val="1"/>
      <w:numFmt w:val="lowerLetter"/>
      <w:lvlText w:val="%5."/>
      <w:lvlJc w:val="left"/>
      <w:pPr>
        <w:ind w:left="4593" w:hanging="360"/>
      </w:pPr>
    </w:lvl>
    <w:lvl w:ilvl="5" w:tplc="0418001B" w:tentative="1">
      <w:start w:val="1"/>
      <w:numFmt w:val="lowerRoman"/>
      <w:lvlText w:val="%6."/>
      <w:lvlJc w:val="right"/>
      <w:pPr>
        <w:ind w:left="5313" w:hanging="180"/>
      </w:pPr>
    </w:lvl>
    <w:lvl w:ilvl="6" w:tplc="0418000F" w:tentative="1">
      <w:start w:val="1"/>
      <w:numFmt w:val="decimal"/>
      <w:lvlText w:val="%7."/>
      <w:lvlJc w:val="left"/>
      <w:pPr>
        <w:ind w:left="6033" w:hanging="360"/>
      </w:pPr>
    </w:lvl>
    <w:lvl w:ilvl="7" w:tplc="04180019" w:tentative="1">
      <w:start w:val="1"/>
      <w:numFmt w:val="lowerLetter"/>
      <w:lvlText w:val="%8."/>
      <w:lvlJc w:val="left"/>
      <w:pPr>
        <w:ind w:left="6753" w:hanging="360"/>
      </w:pPr>
    </w:lvl>
    <w:lvl w:ilvl="8" w:tplc="0418001B" w:tentative="1">
      <w:start w:val="1"/>
      <w:numFmt w:val="lowerRoman"/>
      <w:lvlText w:val="%9."/>
      <w:lvlJc w:val="right"/>
      <w:pPr>
        <w:ind w:left="7473" w:hanging="180"/>
      </w:pPr>
    </w:lvl>
  </w:abstractNum>
  <w:abstractNum w:abstractNumId="23" w15:restartNumberingAfterBreak="0">
    <w:nsid w:val="3D911A9E"/>
    <w:multiLevelType w:val="hybridMultilevel"/>
    <w:tmpl w:val="C3341AB8"/>
    <w:lvl w:ilvl="0" w:tplc="CE3A3134">
      <w:start w:val="15"/>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420486F"/>
    <w:multiLevelType w:val="hybridMultilevel"/>
    <w:tmpl w:val="259088F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45AB7345"/>
    <w:multiLevelType w:val="hybridMultilevel"/>
    <w:tmpl w:val="9D265F0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0" w:hanging="360"/>
      </w:pPr>
    </w:lvl>
    <w:lvl w:ilvl="2" w:tplc="0419001B" w:tentative="1">
      <w:start w:val="1"/>
      <w:numFmt w:val="lowerRoman"/>
      <w:lvlText w:val="%3."/>
      <w:lvlJc w:val="right"/>
      <w:pPr>
        <w:ind w:left="600" w:hanging="180"/>
      </w:pPr>
    </w:lvl>
    <w:lvl w:ilvl="3" w:tplc="0419000F" w:tentative="1">
      <w:start w:val="1"/>
      <w:numFmt w:val="decimal"/>
      <w:lvlText w:val="%4."/>
      <w:lvlJc w:val="left"/>
      <w:pPr>
        <w:ind w:left="1320" w:hanging="360"/>
      </w:pPr>
    </w:lvl>
    <w:lvl w:ilvl="4" w:tplc="04190019" w:tentative="1">
      <w:start w:val="1"/>
      <w:numFmt w:val="lowerLetter"/>
      <w:lvlText w:val="%5."/>
      <w:lvlJc w:val="left"/>
      <w:pPr>
        <w:ind w:left="2040" w:hanging="360"/>
      </w:pPr>
    </w:lvl>
    <w:lvl w:ilvl="5" w:tplc="0419001B" w:tentative="1">
      <w:start w:val="1"/>
      <w:numFmt w:val="lowerRoman"/>
      <w:lvlText w:val="%6."/>
      <w:lvlJc w:val="right"/>
      <w:pPr>
        <w:ind w:left="2760" w:hanging="180"/>
      </w:pPr>
    </w:lvl>
    <w:lvl w:ilvl="6" w:tplc="0419000F" w:tentative="1">
      <w:start w:val="1"/>
      <w:numFmt w:val="decimal"/>
      <w:lvlText w:val="%7."/>
      <w:lvlJc w:val="left"/>
      <w:pPr>
        <w:ind w:left="3480" w:hanging="360"/>
      </w:pPr>
    </w:lvl>
    <w:lvl w:ilvl="7" w:tplc="04190019" w:tentative="1">
      <w:start w:val="1"/>
      <w:numFmt w:val="lowerLetter"/>
      <w:lvlText w:val="%8."/>
      <w:lvlJc w:val="left"/>
      <w:pPr>
        <w:ind w:left="4200" w:hanging="360"/>
      </w:pPr>
    </w:lvl>
    <w:lvl w:ilvl="8" w:tplc="0419001B" w:tentative="1">
      <w:start w:val="1"/>
      <w:numFmt w:val="lowerRoman"/>
      <w:lvlText w:val="%9."/>
      <w:lvlJc w:val="right"/>
      <w:pPr>
        <w:ind w:left="4920" w:hanging="180"/>
      </w:pPr>
    </w:lvl>
  </w:abstractNum>
  <w:abstractNum w:abstractNumId="26" w15:restartNumberingAfterBreak="0">
    <w:nsid w:val="46ED3A10"/>
    <w:multiLevelType w:val="multilevel"/>
    <w:tmpl w:val="499443F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733659"/>
    <w:multiLevelType w:val="hybridMultilevel"/>
    <w:tmpl w:val="A1000946"/>
    <w:lvl w:ilvl="0" w:tplc="40CAEC1E">
      <w:start w:val="1"/>
      <w:numFmt w:val="decimal"/>
      <w:lvlText w:val="%1."/>
      <w:lvlJc w:val="left"/>
      <w:pPr>
        <w:ind w:left="928"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8723FF"/>
    <w:multiLevelType w:val="hybridMultilevel"/>
    <w:tmpl w:val="8D14DC5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D05618"/>
    <w:multiLevelType w:val="hybridMultilevel"/>
    <w:tmpl w:val="E30E1ABE"/>
    <w:lvl w:ilvl="0" w:tplc="10ACE84A">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56B93B37"/>
    <w:multiLevelType w:val="hybridMultilevel"/>
    <w:tmpl w:val="0E22A74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5A5236BB"/>
    <w:multiLevelType w:val="hybridMultilevel"/>
    <w:tmpl w:val="92FC6C2C"/>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5D5B2FC3"/>
    <w:multiLevelType w:val="hybridMultilevel"/>
    <w:tmpl w:val="121C239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5D967C16"/>
    <w:multiLevelType w:val="hybridMultilevel"/>
    <w:tmpl w:val="CF6AA538"/>
    <w:lvl w:ilvl="0" w:tplc="04180011">
      <w:start w:val="1"/>
      <w:numFmt w:val="decimal"/>
      <w:lvlText w:val="%1)"/>
      <w:lvlJc w:val="left"/>
      <w:pPr>
        <w:ind w:left="1713" w:hanging="360"/>
      </w:pPr>
    </w:lvl>
    <w:lvl w:ilvl="1" w:tplc="04180019" w:tentative="1">
      <w:start w:val="1"/>
      <w:numFmt w:val="lowerLetter"/>
      <w:lvlText w:val="%2."/>
      <w:lvlJc w:val="left"/>
      <w:pPr>
        <w:ind w:left="2433" w:hanging="360"/>
      </w:pPr>
    </w:lvl>
    <w:lvl w:ilvl="2" w:tplc="0418001B" w:tentative="1">
      <w:start w:val="1"/>
      <w:numFmt w:val="lowerRoman"/>
      <w:lvlText w:val="%3."/>
      <w:lvlJc w:val="right"/>
      <w:pPr>
        <w:ind w:left="3153" w:hanging="180"/>
      </w:pPr>
    </w:lvl>
    <w:lvl w:ilvl="3" w:tplc="0418000F" w:tentative="1">
      <w:start w:val="1"/>
      <w:numFmt w:val="decimal"/>
      <w:lvlText w:val="%4."/>
      <w:lvlJc w:val="left"/>
      <w:pPr>
        <w:ind w:left="3873" w:hanging="360"/>
      </w:pPr>
    </w:lvl>
    <w:lvl w:ilvl="4" w:tplc="04180019" w:tentative="1">
      <w:start w:val="1"/>
      <w:numFmt w:val="lowerLetter"/>
      <w:lvlText w:val="%5."/>
      <w:lvlJc w:val="left"/>
      <w:pPr>
        <w:ind w:left="4593" w:hanging="360"/>
      </w:pPr>
    </w:lvl>
    <w:lvl w:ilvl="5" w:tplc="0418001B" w:tentative="1">
      <w:start w:val="1"/>
      <w:numFmt w:val="lowerRoman"/>
      <w:lvlText w:val="%6."/>
      <w:lvlJc w:val="right"/>
      <w:pPr>
        <w:ind w:left="5313" w:hanging="180"/>
      </w:pPr>
    </w:lvl>
    <w:lvl w:ilvl="6" w:tplc="0418000F" w:tentative="1">
      <w:start w:val="1"/>
      <w:numFmt w:val="decimal"/>
      <w:lvlText w:val="%7."/>
      <w:lvlJc w:val="left"/>
      <w:pPr>
        <w:ind w:left="6033" w:hanging="360"/>
      </w:pPr>
    </w:lvl>
    <w:lvl w:ilvl="7" w:tplc="04180019" w:tentative="1">
      <w:start w:val="1"/>
      <w:numFmt w:val="lowerLetter"/>
      <w:lvlText w:val="%8."/>
      <w:lvlJc w:val="left"/>
      <w:pPr>
        <w:ind w:left="6753" w:hanging="360"/>
      </w:pPr>
    </w:lvl>
    <w:lvl w:ilvl="8" w:tplc="0418001B" w:tentative="1">
      <w:start w:val="1"/>
      <w:numFmt w:val="lowerRoman"/>
      <w:lvlText w:val="%9."/>
      <w:lvlJc w:val="right"/>
      <w:pPr>
        <w:ind w:left="7473" w:hanging="180"/>
      </w:pPr>
    </w:lvl>
  </w:abstractNum>
  <w:abstractNum w:abstractNumId="34" w15:restartNumberingAfterBreak="0">
    <w:nsid w:val="5F5D3890"/>
    <w:multiLevelType w:val="hybridMultilevel"/>
    <w:tmpl w:val="2090AD00"/>
    <w:lvl w:ilvl="0" w:tplc="0400E52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0455D9"/>
    <w:multiLevelType w:val="hybridMultilevel"/>
    <w:tmpl w:val="4F6AEBFE"/>
    <w:lvl w:ilvl="0" w:tplc="13FABA36">
      <w:start w:val="1"/>
      <w:numFmt w:val="decimal"/>
      <w:lvlText w:val="%1."/>
      <w:lvlJc w:val="left"/>
      <w:pPr>
        <w:ind w:left="720" w:hanging="360"/>
      </w:pPr>
      <w:rPr>
        <w:rFonts w:hint="default"/>
        <w:b/>
        <w:i w:val="0"/>
        <w:color w:val="auto"/>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7794809"/>
    <w:multiLevelType w:val="hybridMultilevel"/>
    <w:tmpl w:val="E0500FA4"/>
    <w:lvl w:ilvl="0" w:tplc="CF66124C">
      <w:start w:val="1"/>
      <w:numFmt w:val="decimal"/>
      <w:lvlText w:val="%1)"/>
      <w:lvlJc w:val="left"/>
      <w:pPr>
        <w:ind w:left="928" w:hanging="360"/>
      </w:pPr>
      <w:rPr>
        <w:rFonts w:cs="Times New Roman" w:hint="default"/>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37" w15:restartNumberingAfterBreak="0">
    <w:nsid w:val="6CDA2406"/>
    <w:multiLevelType w:val="hybridMultilevel"/>
    <w:tmpl w:val="CF6AA538"/>
    <w:lvl w:ilvl="0" w:tplc="04180011">
      <w:start w:val="1"/>
      <w:numFmt w:val="decimal"/>
      <w:lvlText w:val="%1)"/>
      <w:lvlJc w:val="left"/>
      <w:pPr>
        <w:ind w:left="1713" w:hanging="360"/>
      </w:pPr>
    </w:lvl>
    <w:lvl w:ilvl="1" w:tplc="04180019" w:tentative="1">
      <w:start w:val="1"/>
      <w:numFmt w:val="lowerLetter"/>
      <w:lvlText w:val="%2."/>
      <w:lvlJc w:val="left"/>
      <w:pPr>
        <w:ind w:left="2433" w:hanging="360"/>
      </w:pPr>
    </w:lvl>
    <w:lvl w:ilvl="2" w:tplc="0418001B" w:tentative="1">
      <w:start w:val="1"/>
      <w:numFmt w:val="lowerRoman"/>
      <w:lvlText w:val="%3."/>
      <w:lvlJc w:val="right"/>
      <w:pPr>
        <w:ind w:left="3153" w:hanging="180"/>
      </w:pPr>
    </w:lvl>
    <w:lvl w:ilvl="3" w:tplc="0418000F" w:tentative="1">
      <w:start w:val="1"/>
      <w:numFmt w:val="decimal"/>
      <w:lvlText w:val="%4."/>
      <w:lvlJc w:val="left"/>
      <w:pPr>
        <w:ind w:left="3873" w:hanging="360"/>
      </w:pPr>
    </w:lvl>
    <w:lvl w:ilvl="4" w:tplc="04180019" w:tentative="1">
      <w:start w:val="1"/>
      <w:numFmt w:val="lowerLetter"/>
      <w:lvlText w:val="%5."/>
      <w:lvlJc w:val="left"/>
      <w:pPr>
        <w:ind w:left="4593" w:hanging="360"/>
      </w:pPr>
    </w:lvl>
    <w:lvl w:ilvl="5" w:tplc="0418001B" w:tentative="1">
      <w:start w:val="1"/>
      <w:numFmt w:val="lowerRoman"/>
      <w:lvlText w:val="%6."/>
      <w:lvlJc w:val="right"/>
      <w:pPr>
        <w:ind w:left="5313" w:hanging="180"/>
      </w:pPr>
    </w:lvl>
    <w:lvl w:ilvl="6" w:tplc="0418000F" w:tentative="1">
      <w:start w:val="1"/>
      <w:numFmt w:val="decimal"/>
      <w:lvlText w:val="%7."/>
      <w:lvlJc w:val="left"/>
      <w:pPr>
        <w:ind w:left="6033" w:hanging="360"/>
      </w:pPr>
    </w:lvl>
    <w:lvl w:ilvl="7" w:tplc="04180019" w:tentative="1">
      <w:start w:val="1"/>
      <w:numFmt w:val="lowerLetter"/>
      <w:lvlText w:val="%8."/>
      <w:lvlJc w:val="left"/>
      <w:pPr>
        <w:ind w:left="6753" w:hanging="360"/>
      </w:pPr>
    </w:lvl>
    <w:lvl w:ilvl="8" w:tplc="0418001B" w:tentative="1">
      <w:start w:val="1"/>
      <w:numFmt w:val="lowerRoman"/>
      <w:lvlText w:val="%9."/>
      <w:lvlJc w:val="right"/>
      <w:pPr>
        <w:ind w:left="7473" w:hanging="180"/>
      </w:pPr>
    </w:lvl>
  </w:abstractNum>
  <w:abstractNum w:abstractNumId="38" w15:restartNumberingAfterBreak="0">
    <w:nsid w:val="6F684AD9"/>
    <w:multiLevelType w:val="hybridMultilevel"/>
    <w:tmpl w:val="335A8C1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9" w15:restartNumberingAfterBreak="0">
    <w:nsid w:val="780110C0"/>
    <w:multiLevelType w:val="hybridMultilevel"/>
    <w:tmpl w:val="E0C69C08"/>
    <w:lvl w:ilvl="0" w:tplc="85FE08EC">
      <w:start w:val="1"/>
      <w:numFmt w:val="lowerLetter"/>
      <w:lvlText w:val="%1)"/>
      <w:lvlJc w:val="left"/>
      <w:pPr>
        <w:ind w:left="1440" w:hanging="360"/>
      </w:pPr>
      <w:rPr>
        <w:i/>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7A375F2D"/>
    <w:multiLevelType w:val="hybridMultilevel"/>
    <w:tmpl w:val="70ACD3D4"/>
    <w:lvl w:ilvl="0" w:tplc="A8789A2E">
      <w:start w:val="1"/>
      <w:numFmt w:val="lowerLetter"/>
      <w:lvlText w:val="%1)"/>
      <w:lvlJc w:val="left"/>
      <w:pPr>
        <w:ind w:left="541" w:hanging="360"/>
      </w:pPr>
      <w:rPr>
        <w:rFonts w:hint="default"/>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41" w15:restartNumberingAfterBreak="0">
    <w:nsid w:val="7DC718CB"/>
    <w:multiLevelType w:val="hybridMultilevel"/>
    <w:tmpl w:val="CF6AA538"/>
    <w:lvl w:ilvl="0" w:tplc="04180011">
      <w:start w:val="1"/>
      <w:numFmt w:val="decimal"/>
      <w:lvlText w:val="%1)"/>
      <w:lvlJc w:val="left"/>
      <w:pPr>
        <w:ind w:left="1713" w:hanging="360"/>
      </w:pPr>
    </w:lvl>
    <w:lvl w:ilvl="1" w:tplc="04180019" w:tentative="1">
      <w:start w:val="1"/>
      <w:numFmt w:val="lowerLetter"/>
      <w:lvlText w:val="%2."/>
      <w:lvlJc w:val="left"/>
      <w:pPr>
        <w:ind w:left="2433" w:hanging="360"/>
      </w:pPr>
    </w:lvl>
    <w:lvl w:ilvl="2" w:tplc="0418001B" w:tentative="1">
      <w:start w:val="1"/>
      <w:numFmt w:val="lowerRoman"/>
      <w:lvlText w:val="%3."/>
      <w:lvlJc w:val="right"/>
      <w:pPr>
        <w:ind w:left="3153" w:hanging="180"/>
      </w:pPr>
    </w:lvl>
    <w:lvl w:ilvl="3" w:tplc="0418000F" w:tentative="1">
      <w:start w:val="1"/>
      <w:numFmt w:val="decimal"/>
      <w:lvlText w:val="%4."/>
      <w:lvlJc w:val="left"/>
      <w:pPr>
        <w:ind w:left="3873" w:hanging="360"/>
      </w:pPr>
    </w:lvl>
    <w:lvl w:ilvl="4" w:tplc="04180019" w:tentative="1">
      <w:start w:val="1"/>
      <w:numFmt w:val="lowerLetter"/>
      <w:lvlText w:val="%5."/>
      <w:lvlJc w:val="left"/>
      <w:pPr>
        <w:ind w:left="4593" w:hanging="360"/>
      </w:pPr>
    </w:lvl>
    <w:lvl w:ilvl="5" w:tplc="0418001B" w:tentative="1">
      <w:start w:val="1"/>
      <w:numFmt w:val="lowerRoman"/>
      <w:lvlText w:val="%6."/>
      <w:lvlJc w:val="right"/>
      <w:pPr>
        <w:ind w:left="5313" w:hanging="180"/>
      </w:pPr>
    </w:lvl>
    <w:lvl w:ilvl="6" w:tplc="0418000F" w:tentative="1">
      <w:start w:val="1"/>
      <w:numFmt w:val="decimal"/>
      <w:lvlText w:val="%7."/>
      <w:lvlJc w:val="left"/>
      <w:pPr>
        <w:ind w:left="6033" w:hanging="360"/>
      </w:pPr>
    </w:lvl>
    <w:lvl w:ilvl="7" w:tplc="04180019" w:tentative="1">
      <w:start w:val="1"/>
      <w:numFmt w:val="lowerLetter"/>
      <w:lvlText w:val="%8."/>
      <w:lvlJc w:val="left"/>
      <w:pPr>
        <w:ind w:left="6753" w:hanging="360"/>
      </w:pPr>
    </w:lvl>
    <w:lvl w:ilvl="8" w:tplc="0418001B" w:tentative="1">
      <w:start w:val="1"/>
      <w:numFmt w:val="lowerRoman"/>
      <w:lvlText w:val="%9."/>
      <w:lvlJc w:val="right"/>
      <w:pPr>
        <w:ind w:left="7473" w:hanging="180"/>
      </w:pPr>
    </w:lvl>
  </w:abstractNum>
  <w:abstractNum w:abstractNumId="42" w15:restartNumberingAfterBreak="0">
    <w:nsid w:val="7DCE0C10"/>
    <w:multiLevelType w:val="hybridMultilevel"/>
    <w:tmpl w:val="C368018E"/>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FAE0B1C"/>
    <w:multiLevelType w:val="hybridMultilevel"/>
    <w:tmpl w:val="CF6AA538"/>
    <w:lvl w:ilvl="0" w:tplc="04180011">
      <w:start w:val="1"/>
      <w:numFmt w:val="decimal"/>
      <w:lvlText w:val="%1)"/>
      <w:lvlJc w:val="left"/>
      <w:pPr>
        <w:ind w:left="1713" w:hanging="360"/>
      </w:pPr>
    </w:lvl>
    <w:lvl w:ilvl="1" w:tplc="04180019" w:tentative="1">
      <w:start w:val="1"/>
      <w:numFmt w:val="lowerLetter"/>
      <w:lvlText w:val="%2."/>
      <w:lvlJc w:val="left"/>
      <w:pPr>
        <w:ind w:left="2433" w:hanging="360"/>
      </w:pPr>
    </w:lvl>
    <w:lvl w:ilvl="2" w:tplc="0418001B" w:tentative="1">
      <w:start w:val="1"/>
      <w:numFmt w:val="lowerRoman"/>
      <w:lvlText w:val="%3."/>
      <w:lvlJc w:val="right"/>
      <w:pPr>
        <w:ind w:left="3153" w:hanging="180"/>
      </w:pPr>
    </w:lvl>
    <w:lvl w:ilvl="3" w:tplc="0418000F" w:tentative="1">
      <w:start w:val="1"/>
      <w:numFmt w:val="decimal"/>
      <w:lvlText w:val="%4."/>
      <w:lvlJc w:val="left"/>
      <w:pPr>
        <w:ind w:left="3873" w:hanging="360"/>
      </w:pPr>
    </w:lvl>
    <w:lvl w:ilvl="4" w:tplc="04180019" w:tentative="1">
      <w:start w:val="1"/>
      <w:numFmt w:val="lowerLetter"/>
      <w:lvlText w:val="%5."/>
      <w:lvlJc w:val="left"/>
      <w:pPr>
        <w:ind w:left="4593" w:hanging="360"/>
      </w:pPr>
    </w:lvl>
    <w:lvl w:ilvl="5" w:tplc="0418001B" w:tentative="1">
      <w:start w:val="1"/>
      <w:numFmt w:val="lowerRoman"/>
      <w:lvlText w:val="%6."/>
      <w:lvlJc w:val="right"/>
      <w:pPr>
        <w:ind w:left="5313" w:hanging="180"/>
      </w:pPr>
    </w:lvl>
    <w:lvl w:ilvl="6" w:tplc="0418000F" w:tentative="1">
      <w:start w:val="1"/>
      <w:numFmt w:val="decimal"/>
      <w:lvlText w:val="%7."/>
      <w:lvlJc w:val="left"/>
      <w:pPr>
        <w:ind w:left="6033" w:hanging="360"/>
      </w:pPr>
    </w:lvl>
    <w:lvl w:ilvl="7" w:tplc="04180019" w:tentative="1">
      <w:start w:val="1"/>
      <w:numFmt w:val="lowerLetter"/>
      <w:lvlText w:val="%8."/>
      <w:lvlJc w:val="left"/>
      <w:pPr>
        <w:ind w:left="6753" w:hanging="360"/>
      </w:pPr>
    </w:lvl>
    <w:lvl w:ilvl="8" w:tplc="0418001B" w:tentative="1">
      <w:start w:val="1"/>
      <w:numFmt w:val="lowerRoman"/>
      <w:lvlText w:val="%9."/>
      <w:lvlJc w:val="right"/>
      <w:pPr>
        <w:ind w:left="7473" w:hanging="180"/>
      </w:pPr>
    </w:lvl>
  </w:abstractNum>
  <w:num w:numId="1">
    <w:abstractNumId w:val="19"/>
  </w:num>
  <w:num w:numId="2">
    <w:abstractNumId w:val="29"/>
  </w:num>
  <w:num w:numId="3">
    <w:abstractNumId w:val="36"/>
  </w:num>
  <w:num w:numId="4">
    <w:abstractNumId w:val="17"/>
  </w:num>
  <w:num w:numId="5">
    <w:abstractNumId w:val="40"/>
  </w:num>
  <w:num w:numId="6">
    <w:abstractNumId w:val="21"/>
  </w:num>
  <w:num w:numId="7">
    <w:abstractNumId w:val="32"/>
  </w:num>
  <w:num w:numId="8">
    <w:abstractNumId w:val="30"/>
  </w:num>
  <w:num w:numId="9">
    <w:abstractNumId w:val="27"/>
  </w:num>
  <w:num w:numId="10">
    <w:abstractNumId w:val="10"/>
  </w:num>
  <w:num w:numId="11">
    <w:abstractNumId w:val="39"/>
  </w:num>
  <w:num w:numId="12">
    <w:abstractNumId w:val="13"/>
  </w:num>
  <w:num w:numId="13">
    <w:abstractNumId w:val="23"/>
  </w:num>
  <w:num w:numId="14">
    <w:abstractNumId w:val="6"/>
  </w:num>
  <w:num w:numId="15">
    <w:abstractNumId w:val="3"/>
  </w:num>
  <w:num w:numId="16">
    <w:abstractNumId w:val="20"/>
  </w:num>
  <w:num w:numId="17">
    <w:abstractNumId w:val="35"/>
  </w:num>
  <w:num w:numId="18">
    <w:abstractNumId w:val="43"/>
  </w:num>
  <w:num w:numId="19">
    <w:abstractNumId w:val="41"/>
  </w:num>
  <w:num w:numId="20">
    <w:abstractNumId w:val="22"/>
  </w:num>
  <w:num w:numId="21">
    <w:abstractNumId w:val="15"/>
  </w:num>
  <w:num w:numId="22">
    <w:abstractNumId w:val="28"/>
  </w:num>
  <w:num w:numId="23">
    <w:abstractNumId w:val="37"/>
  </w:num>
  <w:num w:numId="24">
    <w:abstractNumId w:val="12"/>
  </w:num>
  <w:num w:numId="25">
    <w:abstractNumId w:val="26"/>
  </w:num>
  <w:num w:numId="26">
    <w:abstractNumId w:val="33"/>
  </w:num>
  <w:num w:numId="27">
    <w:abstractNumId w:val="1"/>
  </w:num>
  <w:num w:numId="28">
    <w:abstractNumId w:val="4"/>
  </w:num>
  <w:num w:numId="29">
    <w:abstractNumId w:val="25"/>
  </w:num>
  <w:num w:numId="30">
    <w:abstractNumId w:val="11"/>
  </w:num>
  <w:num w:numId="31">
    <w:abstractNumId w:val="14"/>
  </w:num>
  <w:num w:numId="32">
    <w:abstractNumId w:val="38"/>
  </w:num>
  <w:num w:numId="33">
    <w:abstractNumId w:val="24"/>
  </w:num>
  <w:num w:numId="34">
    <w:abstractNumId w:val="31"/>
  </w:num>
  <w:num w:numId="35">
    <w:abstractNumId w:val="2"/>
  </w:num>
  <w:num w:numId="36">
    <w:abstractNumId w:val="9"/>
  </w:num>
  <w:num w:numId="37">
    <w:abstractNumId w:val="7"/>
  </w:num>
  <w:num w:numId="38">
    <w:abstractNumId w:val="5"/>
  </w:num>
  <w:num w:numId="39">
    <w:abstractNumId w:val="42"/>
  </w:num>
  <w:num w:numId="40">
    <w:abstractNumId w:val="18"/>
  </w:num>
  <w:num w:numId="41">
    <w:abstractNumId w:val="0"/>
  </w:num>
  <w:num w:numId="42">
    <w:abstractNumId w:val="34"/>
  </w:num>
  <w:num w:numId="43">
    <w:abstractNumId w:val="8"/>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F10"/>
    <w:rsid w:val="000001B0"/>
    <w:rsid w:val="00000D50"/>
    <w:rsid w:val="00003487"/>
    <w:rsid w:val="000040C3"/>
    <w:rsid w:val="00004388"/>
    <w:rsid w:val="00004C82"/>
    <w:rsid w:val="00007859"/>
    <w:rsid w:val="00007FDA"/>
    <w:rsid w:val="00011E0B"/>
    <w:rsid w:val="000124A2"/>
    <w:rsid w:val="00013CAB"/>
    <w:rsid w:val="000161C5"/>
    <w:rsid w:val="00022667"/>
    <w:rsid w:val="00022B6A"/>
    <w:rsid w:val="00023DE9"/>
    <w:rsid w:val="00024976"/>
    <w:rsid w:val="0002544C"/>
    <w:rsid w:val="0002652E"/>
    <w:rsid w:val="00027B01"/>
    <w:rsid w:val="00027C07"/>
    <w:rsid w:val="000313FD"/>
    <w:rsid w:val="00033A3F"/>
    <w:rsid w:val="00033D0A"/>
    <w:rsid w:val="00033F81"/>
    <w:rsid w:val="00036216"/>
    <w:rsid w:val="00041417"/>
    <w:rsid w:val="0004276F"/>
    <w:rsid w:val="0004495F"/>
    <w:rsid w:val="00050293"/>
    <w:rsid w:val="00051052"/>
    <w:rsid w:val="00054B1D"/>
    <w:rsid w:val="00054F05"/>
    <w:rsid w:val="000558E3"/>
    <w:rsid w:val="00056ABF"/>
    <w:rsid w:val="00056BFC"/>
    <w:rsid w:val="00056C33"/>
    <w:rsid w:val="00056D91"/>
    <w:rsid w:val="00057525"/>
    <w:rsid w:val="0005766D"/>
    <w:rsid w:val="0006034A"/>
    <w:rsid w:val="0006133A"/>
    <w:rsid w:val="000626A8"/>
    <w:rsid w:val="00062932"/>
    <w:rsid w:val="000656F8"/>
    <w:rsid w:val="000658D2"/>
    <w:rsid w:val="00065C1B"/>
    <w:rsid w:val="00066EEE"/>
    <w:rsid w:val="0007132B"/>
    <w:rsid w:val="00075EE7"/>
    <w:rsid w:val="00075F8F"/>
    <w:rsid w:val="00075FAE"/>
    <w:rsid w:val="00076826"/>
    <w:rsid w:val="00080C91"/>
    <w:rsid w:val="00081FA1"/>
    <w:rsid w:val="000824B0"/>
    <w:rsid w:val="00082D06"/>
    <w:rsid w:val="000839C8"/>
    <w:rsid w:val="00085542"/>
    <w:rsid w:val="000911E1"/>
    <w:rsid w:val="00091E2D"/>
    <w:rsid w:val="0009231C"/>
    <w:rsid w:val="00093821"/>
    <w:rsid w:val="00094086"/>
    <w:rsid w:val="0009442E"/>
    <w:rsid w:val="0009512A"/>
    <w:rsid w:val="000965DD"/>
    <w:rsid w:val="000A0E12"/>
    <w:rsid w:val="000A2CEE"/>
    <w:rsid w:val="000A4B09"/>
    <w:rsid w:val="000A4EAC"/>
    <w:rsid w:val="000A551B"/>
    <w:rsid w:val="000A7D46"/>
    <w:rsid w:val="000B1B1E"/>
    <w:rsid w:val="000B524B"/>
    <w:rsid w:val="000B629F"/>
    <w:rsid w:val="000B7219"/>
    <w:rsid w:val="000C0C99"/>
    <w:rsid w:val="000C1C46"/>
    <w:rsid w:val="000C2C85"/>
    <w:rsid w:val="000C420D"/>
    <w:rsid w:val="000C6D95"/>
    <w:rsid w:val="000D11B7"/>
    <w:rsid w:val="000D43E2"/>
    <w:rsid w:val="000E1A4A"/>
    <w:rsid w:val="000E1AA4"/>
    <w:rsid w:val="000E27A4"/>
    <w:rsid w:val="000E6A85"/>
    <w:rsid w:val="000F043B"/>
    <w:rsid w:val="000F0556"/>
    <w:rsid w:val="000F0D80"/>
    <w:rsid w:val="000F107F"/>
    <w:rsid w:val="000F149F"/>
    <w:rsid w:val="000F268F"/>
    <w:rsid w:val="000F35A7"/>
    <w:rsid w:val="000F38DB"/>
    <w:rsid w:val="000F39ED"/>
    <w:rsid w:val="000F6432"/>
    <w:rsid w:val="000F6623"/>
    <w:rsid w:val="0010023C"/>
    <w:rsid w:val="00101070"/>
    <w:rsid w:val="00103C38"/>
    <w:rsid w:val="00105182"/>
    <w:rsid w:val="00105878"/>
    <w:rsid w:val="00105EF5"/>
    <w:rsid w:val="00107151"/>
    <w:rsid w:val="00111729"/>
    <w:rsid w:val="00113E57"/>
    <w:rsid w:val="00116BAD"/>
    <w:rsid w:val="00117021"/>
    <w:rsid w:val="001175BF"/>
    <w:rsid w:val="0012043E"/>
    <w:rsid w:val="001208EF"/>
    <w:rsid w:val="00121FCF"/>
    <w:rsid w:val="00124283"/>
    <w:rsid w:val="00125FEC"/>
    <w:rsid w:val="0012696F"/>
    <w:rsid w:val="00126E65"/>
    <w:rsid w:val="00131C2E"/>
    <w:rsid w:val="0013201C"/>
    <w:rsid w:val="00134B4C"/>
    <w:rsid w:val="00137091"/>
    <w:rsid w:val="00137DAC"/>
    <w:rsid w:val="00142C5C"/>
    <w:rsid w:val="001509CE"/>
    <w:rsid w:val="00151F86"/>
    <w:rsid w:val="00152E5F"/>
    <w:rsid w:val="0015421A"/>
    <w:rsid w:val="00156F39"/>
    <w:rsid w:val="001573CA"/>
    <w:rsid w:val="0016430C"/>
    <w:rsid w:val="001648D4"/>
    <w:rsid w:val="00165817"/>
    <w:rsid w:val="00166B4F"/>
    <w:rsid w:val="001677FB"/>
    <w:rsid w:val="00171EC6"/>
    <w:rsid w:val="001728FD"/>
    <w:rsid w:val="00172FC3"/>
    <w:rsid w:val="0017359B"/>
    <w:rsid w:val="0017481D"/>
    <w:rsid w:val="00174EE0"/>
    <w:rsid w:val="001762C5"/>
    <w:rsid w:val="001763D9"/>
    <w:rsid w:val="00176F1B"/>
    <w:rsid w:val="00177261"/>
    <w:rsid w:val="00177394"/>
    <w:rsid w:val="0018148A"/>
    <w:rsid w:val="00181849"/>
    <w:rsid w:val="00182201"/>
    <w:rsid w:val="001843FA"/>
    <w:rsid w:val="00185948"/>
    <w:rsid w:val="00186A2B"/>
    <w:rsid w:val="00186EF4"/>
    <w:rsid w:val="001871C6"/>
    <w:rsid w:val="00192D19"/>
    <w:rsid w:val="00193080"/>
    <w:rsid w:val="00193A57"/>
    <w:rsid w:val="00195B5A"/>
    <w:rsid w:val="00196A3D"/>
    <w:rsid w:val="001A30D2"/>
    <w:rsid w:val="001A3A73"/>
    <w:rsid w:val="001A5A0C"/>
    <w:rsid w:val="001A66AF"/>
    <w:rsid w:val="001A770E"/>
    <w:rsid w:val="001B03C3"/>
    <w:rsid w:val="001B129C"/>
    <w:rsid w:val="001B3128"/>
    <w:rsid w:val="001B3626"/>
    <w:rsid w:val="001B503F"/>
    <w:rsid w:val="001C06E9"/>
    <w:rsid w:val="001C254B"/>
    <w:rsid w:val="001C4C72"/>
    <w:rsid w:val="001C546C"/>
    <w:rsid w:val="001C6F9F"/>
    <w:rsid w:val="001C74D3"/>
    <w:rsid w:val="001C77CA"/>
    <w:rsid w:val="001D1609"/>
    <w:rsid w:val="001D3283"/>
    <w:rsid w:val="001D4DC1"/>
    <w:rsid w:val="001D7793"/>
    <w:rsid w:val="001E0649"/>
    <w:rsid w:val="001E0AE7"/>
    <w:rsid w:val="001E1E5E"/>
    <w:rsid w:val="001E4380"/>
    <w:rsid w:val="001E62B8"/>
    <w:rsid w:val="001E7C24"/>
    <w:rsid w:val="001F0CB3"/>
    <w:rsid w:val="001F3F59"/>
    <w:rsid w:val="001F3FE5"/>
    <w:rsid w:val="001F5EB7"/>
    <w:rsid w:val="00203860"/>
    <w:rsid w:val="002055DE"/>
    <w:rsid w:val="00206D23"/>
    <w:rsid w:val="0021332B"/>
    <w:rsid w:val="00216720"/>
    <w:rsid w:val="00216FF6"/>
    <w:rsid w:val="002216E1"/>
    <w:rsid w:val="0022179D"/>
    <w:rsid w:val="00221D25"/>
    <w:rsid w:val="002241DC"/>
    <w:rsid w:val="0022571E"/>
    <w:rsid w:val="002257FC"/>
    <w:rsid w:val="00226AC8"/>
    <w:rsid w:val="002277B3"/>
    <w:rsid w:val="00230469"/>
    <w:rsid w:val="00231349"/>
    <w:rsid w:val="0023193F"/>
    <w:rsid w:val="002432D0"/>
    <w:rsid w:val="00244E34"/>
    <w:rsid w:val="00245F6F"/>
    <w:rsid w:val="00247FC3"/>
    <w:rsid w:val="0025073D"/>
    <w:rsid w:val="002540DC"/>
    <w:rsid w:val="0025470D"/>
    <w:rsid w:val="0025558E"/>
    <w:rsid w:val="002560A4"/>
    <w:rsid w:val="00257C42"/>
    <w:rsid w:val="00261FC4"/>
    <w:rsid w:val="00262D5B"/>
    <w:rsid w:val="00262ED7"/>
    <w:rsid w:val="00264148"/>
    <w:rsid w:val="00266801"/>
    <w:rsid w:val="0027238B"/>
    <w:rsid w:val="00272F55"/>
    <w:rsid w:val="00277A9A"/>
    <w:rsid w:val="002800F0"/>
    <w:rsid w:val="002806F1"/>
    <w:rsid w:val="0028159E"/>
    <w:rsid w:val="00281A09"/>
    <w:rsid w:val="0028239A"/>
    <w:rsid w:val="00284166"/>
    <w:rsid w:val="0028443E"/>
    <w:rsid w:val="00286AD4"/>
    <w:rsid w:val="00290D54"/>
    <w:rsid w:val="00291AB3"/>
    <w:rsid w:val="002939D4"/>
    <w:rsid w:val="00294317"/>
    <w:rsid w:val="00295273"/>
    <w:rsid w:val="00295288"/>
    <w:rsid w:val="00297360"/>
    <w:rsid w:val="002A09A9"/>
    <w:rsid w:val="002A30B6"/>
    <w:rsid w:val="002A39A1"/>
    <w:rsid w:val="002A427F"/>
    <w:rsid w:val="002A6C27"/>
    <w:rsid w:val="002A6C76"/>
    <w:rsid w:val="002A7551"/>
    <w:rsid w:val="002B0B54"/>
    <w:rsid w:val="002B11A6"/>
    <w:rsid w:val="002B17B4"/>
    <w:rsid w:val="002B186F"/>
    <w:rsid w:val="002B25BA"/>
    <w:rsid w:val="002B2983"/>
    <w:rsid w:val="002B3953"/>
    <w:rsid w:val="002B6E37"/>
    <w:rsid w:val="002C118B"/>
    <w:rsid w:val="002C42C7"/>
    <w:rsid w:val="002C4340"/>
    <w:rsid w:val="002C43EC"/>
    <w:rsid w:val="002C58D0"/>
    <w:rsid w:val="002C7233"/>
    <w:rsid w:val="002D12DE"/>
    <w:rsid w:val="002D1E48"/>
    <w:rsid w:val="002D3873"/>
    <w:rsid w:val="002D6307"/>
    <w:rsid w:val="002D77D2"/>
    <w:rsid w:val="002E0BA0"/>
    <w:rsid w:val="002E29AF"/>
    <w:rsid w:val="002E33F4"/>
    <w:rsid w:val="002E3E63"/>
    <w:rsid w:val="002E421F"/>
    <w:rsid w:val="002E4A89"/>
    <w:rsid w:val="002E50E6"/>
    <w:rsid w:val="002E537D"/>
    <w:rsid w:val="002E5EFA"/>
    <w:rsid w:val="002E7CE7"/>
    <w:rsid w:val="002F2206"/>
    <w:rsid w:val="002F4384"/>
    <w:rsid w:val="002F5556"/>
    <w:rsid w:val="002F6423"/>
    <w:rsid w:val="002F6612"/>
    <w:rsid w:val="00300D18"/>
    <w:rsid w:val="003014D3"/>
    <w:rsid w:val="00302D99"/>
    <w:rsid w:val="00303097"/>
    <w:rsid w:val="00304281"/>
    <w:rsid w:val="00304778"/>
    <w:rsid w:val="00311B37"/>
    <w:rsid w:val="00312763"/>
    <w:rsid w:val="003128C4"/>
    <w:rsid w:val="00315B95"/>
    <w:rsid w:val="0031653C"/>
    <w:rsid w:val="00316BC2"/>
    <w:rsid w:val="00321589"/>
    <w:rsid w:val="003219B2"/>
    <w:rsid w:val="003238C6"/>
    <w:rsid w:val="00325ACB"/>
    <w:rsid w:val="00326C89"/>
    <w:rsid w:val="00327C06"/>
    <w:rsid w:val="00330EC3"/>
    <w:rsid w:val="003326F1"/>
    <w:rsid w:val="0033358A"/>
    <w:rsid w:val="0033379E"/>
    <w:rsid w:val="0033389C"/>
    <w:rsid w:val="003351E2"/>
    <w:rsid w:val="003352EA"/>
    <w:rsid w:val="00335651"/>
    <w:rsid w:val="00335B29"/>
    <w:rsid w:val="0034073C"/>
    <w:rsid w:val="0034138C"/>
    <w:rsid w:val="0034214E"/>
    <w:rsid w:val="00343EB2"/>
    <w:rsid w:val="0034543C"/>
    <w:rsid w:val="003518FA"/>
    <w:rsid w:val="003542A6"/>
    <w:rsid w:val="00356C29"/>
    <w:rsid w:val="00356FCF"/>
    <w:rsid w:val="00360B1E"/>
    <w:rsid w:val="003623A8"/>
    <w:rsid w:val="00363A9E"/>
    <w:rsid w:val="00363BBC"/>
    <w:rsid w:val="00366A96"/>
    <w:rsid w:val="00370724"/>
    <w:rsid w:val="00371171"/>
    <w:rsid w:val="00373A8F"/>
    <w:rsid w:val="00375A37"/>
    <w:rsid w:val="0037651C"/>
    <w:rsid w:val="00377998"/>
    <w:rsid w:val="003815D4"/>
    <w:rsid w:val="00381C71"/>
    <w:rsid w:val="00385158"/>
    <w:rsid w:val="003854DB"/>
    <w:rsid w:val="00385832"/>
    <w:rsid w:val="003873FC"/>
    <w:rsid w:val="00391B34"/>
    <w:rsid w:val="00391C9A"/>
    <w:rsid w:val="0039309F"/>
    <w:rsid w:val="0039324A"/>
    <w:rsid w:val="00395552"/>
    <w:rsid w:val="003977A6"/>
    <w:rsid w:val="003A03AA"/>
    <w:rsid w:val="003A128D"/>
    <w:rsid w:val="003A17B4"/>
    <w:rsid w:val="003A1871"/>
    <w:rsid w:val="003A5FFF"/>
    <w:rsid w:val="003A781F"/>
    <w:rsid w:val="003B0B0D"/>
    <w:rsid w:val="003B0DC5"/>
    <w:rsid w:val="003B13D9"/>
    <w:rsid w:val="003B56D9"/>
    <w:rsid w:val="003B60E1"/>
    <w:rsid w:val="003B6825"/>
    <w:rsid w:val="003B7363"/>
    <w:rsid w:val="003B7574"/>
    <w:rsid w:val="003C25B8"/>
    <w:rsid w:val="003C2C73"/>
    <w:rsid w:val="003C3D04"/>
    <w:rsid w:val="003C4468"/>
    <w:rsid w:val="003C4BC1"/>
    <w:rsid w:val="003C53DC"/>
    <w:rsid w:val="003C57AC"/>
    <w:rsid w:val="003C5A09"/>
    <w:rsid w:val="003D162B"/>
    <w:rsid w:val="003D2D91"/>
    <w:rsid w:val="003D2DAB"/>
    <w:rsid w:val="003D4BAB"/>
    <w:rsid w:val="003D4C56"/>
    <w:rsid w:val="003D4CD3"/>
    <w:rsid w:val="003D582F"/>
    <w:rsid w:val="003D7DF3"/>
    <w:rsid w:val="003E0A56"/>
    <w:rsid w:val="003E1958"/>
    <w:rsid w:val="003E1E3B"/>
    <w:rsid w:val="003E3747"/>
    <w:rsid w:val="003E681E"/>
    <w:rsid w:val="003F1158"/>
    <w:rsid w:val="003F17C0"/>
    <w:rsid w:val="003F2916"/>
    <w:rsid w:val="003F371A"/>
    <w:rsid w:val="003F39F8"/>
    <w:rsid w:val="003F645C"/>
    <w:rsid w:val="003F7E94"/>
    <w:rsid w:val="0040057B"/>
    <w:rsid w:val="0040138D"/>
    <w:rsid w:val="0040193B"/>
    <w:rsid w:val="004021FC"/>
    <w:rsid w:val="00402D13"/>
    <w:rsid w:val="00403A79"/>
    <w:rsid w:val="00404053"/>
    <w:rsid w:val="004065E8"/>
    <w:rsid w:val="0041064B"/>
    <w:rsid w:val="00412F59"/>
    <w:rsid w:val="00416A68"/>
    <w:rsid w:val="00417720"/>
    <w:rsid w:val="004178CF"/>
    <w:rsid w:val="0042093D"/>
    <w:rsid w:val="00423185"/>
    <w:rsid w:val="00423260"/>
    <w:rsid w:val="004247FA"/>
    <w:rsid w:val="0042482E"/>
    <w:rsid w:val="0042546D"/>
    <w:rsid w:val="00430BB8"/>
    <w:rsid w:val="00431C1A"/>
    <w:rsid w:val="00431CB8"/>
    <w:rsid w:val="004331D8"/>
    <w:rsid w:val="004334D8"/>
    <w:rsid w:val="00434C03"/>
    <w:rsid w:val="00436A54"/>
    <w:rsid w:val="00437284"/>
    <w:rsid w:val="00442446"/>
    <w:rsid w:val="004434AD"/>
    <w:rsid w:val="00443905"/>
    <w:rsid w:val="00444317"/>
    <w:rsid w:val="004457F9"/>
    <w:rsid w:val="004458D7"/>
    <w:rsid w:val="00450350"/>
    <w:rsid w:val="00450696"/>
    <w:rsid w:val="00451026"/>
    <w:rsid w:val="00451834"/>
    <w:rsid w:val="0045318C"/>
    <w:rsid w:val="0045440B"/>
    <w:rsid w:val="00455AA0"/>
    <w:rsid w:val="004611FA"/>
    <w:rsid w:val="004652DB"/>
    <w:rsid w:val="0046618F"/>
    <w:rsid w:val="00466200"/>
    <w:rsid w:val="0046706B"/>
    <w:rsid w:val="00471C98"/>
    <w:rsid w:val="00472AC4"/>
    <w:rsid w:val="004766D8"/>
    <w:rsid w:val="00476DCE"/>
    <w:rsid w:val="00477743"/>
    <w:rsid w:val="00480E3C"/>
    <w:rsid w:val="00481A2B"/>
    <w:rsid w:val="00483557"/>
    <w:rsid w:val="0048457D"/>
    <w:rsid w:val="0048468A"/>
    <w:rsid w:val="00484F3E"/>
    <w:rsid w:val="00485404"/>
    <w:rsid w:val="00485548"/>
    <w:rsid w:val="00486477"/>
    <w:rsid w:val="004963EA"/>
    <w:rsid w:val="0049743E"/>
    <w:rsid w:val="004A04C2"/>
    <w:rsid w:val="004A29A7"/>
    <w:rsid w:val="004A3715"/>
    <w:rsid w:val="004A4E65"/>
    <w:rsid w:val="004A69C7"/>
    <w:rsid w:val="004A7783"/>
    <w:rsid w:val="004B021B"/>
    <w:rsid w:val="004B1CFB"/>
    <w:rsid w:val="004B2EA7"/>
    <w:rsid w:val="004B3EA6"/>
    <w:rsid w:val="004B438F"/>
    <w:rsid w:val="004B6E5C"/>
    <w:rsid w:val="004B7103"/>
    <w:rsid w:val="004B78B0"/>
    <w:rsid w:val="004B78F7"/>
    <w:rsid w:val="004C070D"/>
    <w:rsid w:val="004C50AB"/>
    <w:rsid w:val="004C6D24"/>
    <w:rsid w:val="004C7B98"/>
    <w:rsid w:val="004D1093"/>
    <w:rsid w:val="004D2105"/>
    <w:rsid w:val="004D35FF"/>
    <w:rsid w:val="004D38F3"/>
    <w:rsid w:val="004D5DDA"/>
    <w:rsid w:val="004D6892"/>
    <w:rsid w:val="004D6C1A"/>
    <w:rsid w:val="004D7925"/>
    <w:rsid w:val="004E0A48"/>
    <w:rsid w:val="004E0B74"/>
    <w:rsid w:val="004E3008"/>
    <w:rsid w:val="004E3375"/>
    <w:rsid w:val="004E36DE"/>
    <w:rsid w:val="004E48A4"/>
    <w:rsid w:val="004E7424"/>
    <w:rsid w:val="004E759C"/>
    <w:rsid w:val="004F00C6"/>
    <w:rsid w:val="004F3721"/>
    <w:rsid w:val="004F48D3"/>
    <w:rsid w:val="004F6660"/>
    <w:rsid w:val="004F764C"/>
    <w:rsid w:val="00501AC5"/>
    <w:rsid w:val="00503F1E"/>
    <w:rsid w:val="005046FB"/>
    <w:rsid w:val="00506127"/>
    <w:rsid w:val="00506F37"/>
    <w:rsid w:val="00511A6A"/>
    <w:rsid w:val="00511B8E"/>
    <w:rsid w:val="0051508A"/>
    <w:rsid w:val="00516D62"/>
    <w:rsid w:val="00517422"/>
    <w:rsid w:val="00517A50"/>
    <w:rsid w:val="0052021D"/>
    <w:rsid w:val="00520238"/>
    <w:rsid w:val="00521CAA"/>
    <w:rsid w:val="00522C00"/>
    <w:rsid w:val="00524BCA"/>
    <w:rsid w:val="00525C37"/>
    <w:rsid w:val="00527D50"/>
    <w:rsid w:val="00536D6C"/>
    <w:rsid w:val="00536EFA"/>
    <w:rsid w:val="0053750E"/>
    <w:rsid w:val="00540FA4"/>
    <w:rsid w:val="00541292"/>
    <w:rsid w:val="0054384E"/>
    <w:rsid w:val="005448F3"/>
    <w:rsid w:val="00544A57"/>
    <w:rsid w:val="00545C78"/>
    <w:rsid w:val="00546272"/>
    <w:rsid w:val="005467DE"/>
    <w:rsid w:val="0055171D"/>
    <w:rsid w:val="00552897"/>
    <w:rsid w:val="00553678"/>
    <w:rsid w:val="005552D2"/>
    <w:rsid w:val="00557A69"/>
    <w:rsid w:val="005611BB"/>
    <w:rsid w:val="005618BE"/>
    <w:rsid w:val="00562F80"/>
    <w:rsid w:val="00563476"/>
    <w:rsid w:val="005634A7"/>
    <w:rsid w:val="00563B29"/>
    <w:rsid w:val="005645A9"/>
    <w:rsid w:val="00566F43"/>
    <w:rsid w:val="00572BCC"/>
    <w:rsid w:val="00573D83"/>
    <w:rsid w:val="005740BC"/>
    <w:rsid w:val="00575BB2"/>
    <w:rsid w:val="00576BFD"/>
    <w:rsid w:val="00577772"/>
    <w:rsid w:val="00577EFE"/>
    <w:rsid w:val="005805AC"/>
    <w:rsid w:val="00580F45"/>
    <w:rsid w:val="005849F2"/>
    <w:rsid w:val="00584F97"/>
    <w:rsid w:val="005857FB"/>
    <w:rsid w:val="00587034"/>
    <w:rsid w:val="00590B50"/>
    <w:rsid w:val="0059227F"/>
    <w:rsid w:val="00595B1B"/>
    <w:rsid w:val="00596119"/>
    <w:rsid w:val="00596761"/>
    <w:rsid w:val="00596A18"/>
    <w:rsid w:val="005A276E"/>
    <w:rsid w:val="005A3834"/>
    <w:rsid w:val="005A4D4C"/>
    <w:rsid w:val="005A5B11"/>
    <w:rsid w:val="005A617D"/>
    <w:rsid w:val="005B1CB1"/>
    <w:rsid w:val="005B28AB"/>
    <w:rsid w:val="005B30A5"/>
    <w:rsid w:val="005B3456"/>
    <w:rsid w:val="005B3AF6"/>
    <w:rsid w:val="005B4895"/>
    <w:rsid w:val="005B7563"/>
    <w:rsid w:val="005C1C2D"/>
    <w:rsid w:val="005C287C"/>
    <w:rsid w:val="005C2E39"/>
    <w:rsid w:val="005C32E6"/>
    <w:rsid w:val="005C47C1"/>
    <w:rsid w:val="005C4852"/>
    <w:rsid w:val="005C5210"/>
    <w:rsid w:val="005D2371"/>
    <w:rsid w:val="005D2D6D"/>
    <w:rsid w:val="005D32C4"/>
    <w:rsid w:val="005D3695"/>
    <w:rsid w:val="005D3D38"/>
    <w:rsid w:val="005D4EED"/>
    <w:rsid w:val="005D5477"/>
    <w:rsid w:val="005D55BA"/>
    <w:rsid w:val="005D78FC"/>
    <w:rsid w:val="005E07CA"/>
    <w:rsid w:val="005E1FC7"/>
    <w:rsid w:val="005E28D9"/>
    <w:rsid w:val="005E2C99"/>
    <w:rsid w:val="005E3285"/>
    <w:rsid w:val="005E34AE"/>
    <w:rsid w:val="005E386D"/>
    <w:rsid w:val="005E4F2A"/>
    <w:rsid w:val="005E505A"/>
    <w:rsid w:val="005E743D"/>
    <w:rsid w:val="005E7967"/>
    <w:rsid w:val="005F0A0A"/>
    <w:rsid w:val="005F2C96"/>
    <w:rsid w:val="005F2FA8"/>
    <w:rsid w:val="005F38F2"/>
    <w:rsid w:val="005F4ECD"/>
    <w:rsid w:val="005F5FBE"/>
    <w:rsid w:val="005F62B7"/>
    <w:rsid w:val="005F66E6"/>
    <w:rsid w:val="005F771C"/>
    <w:rsid w:val="006000EE"/>
    <w:rsid w:val="00600E47"/>
    <w:rsid w:val="00602FF3"/>
    <w:rsid w:val="006030EA"/>
    <w:rsid w:val="006048BE"/>
    <w:rsid w:val="0060586A"/>
    <w:rsid w:val="00605C59"/>
    <w:rsid w:val="00605F74"/>
    <w:rsid w:val="00612B0C"/>
    <w:rsid w:val="006157C7"/>
    <w:rsid w:val="006167CD"/>
    <w:rsid w:val="00622446"/>
    <w:rsid w:val="006228B0"/>
    <w:rsid w:val="00625CB6"/>
    <w:rsid w:val="00626DB3"/>
    <w:rsid w:val="006331C7"/>
    <w:rsid w:val="006379C4"/>
    <w:rsid w:val="006400BB"/>
    <w:rsid w:val="00640A68"/>
    <w:rsid w:val="00640E98"/>
    <w:rsid w:val="00645112"/>
    <w:rsid w:val="006464CB"/>
    <w:rsid w:val="00647F01"/>
    <w:rsid w:val="00651E1A"/>
    <w:rsid w:val="00654D92"/>
    <w:rsid w:val="00655DCD"/>
    <w:rsid w:val="006563B8"/>
    <w:rsid w:val="00657E2A"/>
    <w:rsid w:val="00657E82"/>
    <w:rsid w:val="00660475"/>
    <w:rsid w:val="00660684"/>
    <w:rsid w:val="006608A5"/>
    <w:rsid w:val="00664104"/>
    <w:rsid w:val="006644C0"/>
    <w:rsid w:val="00664F80"/>
    <w:rsid w:val="00665424"/>
    <w:rsid w:val="006658A6"/>
    <w:rsid w:val="00666DB8"/>
    <w:rsid w:val="0066714F"/>
    <w:rsid w:val="006673D0"/>
    <w:rsid w:val="006677F4"/>
    <w:rsid w:val="006701B7"/>
    <w:rsid w:val="006705B2"/>
    <w:rsid w:val="006708E6"/>
    <w:rsid w:val="00671B0C"/>
    <w:rsid w:val="00671EF7"/>
    <w:rsid w:val="00673D0D"/>
    <w:rsid w:val="0067441E"/>
    <w:rsid w:val="00680768"/>
    <w:rsid w:val="0068180F"/>
    <w:rsid w:val="00682001"/>
    <w:rsid w:val="00683664"/>
    <w:rsid w:val="00683FB1"/>
    <w:rsid w:val="0068472F"/>
    <w:rsid w:val="006925E9"/>
    <w:rsid w:val="00693370"/>
    <w:rsid w:val="00693D9B"/>
    <w:rsid w:val="00693DF2"/>
    <w:rsid w:val="006945F5"/>
    <w:rsid w:val="006963CA"/>
    <w:rsid w:val="006965E9"/>
    <w:rsid w:val="006977DE"/>
    <w:rsid w:val="006A022E"/>
    <w:rsid w:val="006A04A1"/>
    <w:rsid w:val="006A4EEB"/>
    <w:rsid w:val="006A5A71"/>
    <w:rsid w:val="006A5BE7"/>
    <w:rsid w:val="006A5D70"/>
    <w:rsid w:val="006B328D"/>
    <w:rsid w:val="006B3C10"/>
    <w:rsid w:val="006C2893"/>
    <w:rsid w:val="006C4D54"/>
    <w:rsid w:val="006C606C"/>
    <w:rsid w:val="006C7D41"/>
    <w:rsid w:val="006D0E0B"/>
    <w:rsid w:val="006D1AF6"/>
    <w:rsid w:val="006D1F28"/>
    <w:rsid w:val="006D28BD"/>
    <w:rsid w:val="006D2F10"/>
    <w:rsid w:val="006D5C57"/>
    <w:rsid w:val="006D7F65"/>
    <w:rsid w:val="006E0C13"/>
    <w:rsid w:val="006E1F53"/>
    <w:rsid w:val="006E7A5A"/>
    <w:rsid w:val="006F10D6"/>
    <w:rsid w:val="006F55AB"/>
    <w:rsid w:val="006F6145"/>
    <w:rsid w:val="006F7829"/>
    <w:rsid w:val="006F7840"/>
    <w:rsid w:val="00700942"/>
    <w:rsid w:val="00705759"/>
    <w:rsid w:val="00705E1A"/>
    <w:rsid w:val="007063C5"/>
    <w:rsid w:val="007066EC"/>
    <w:rsid w:val="00706B95"/>
    <w:rsid w:val="00706E77"/>
    <w:rsid w:val="007125CA"/>
    <w:rsid w:val="007127D7"/>
    <w:rsid w:val="00714378"/>
    <w:rsid w:val="00714F77"/>
    <w:rsid w:val="00715AB9"/>
    <w:rsid w:val="007171D2"/>
    <w:rsid w:val="007228D4"/>
    <w:rsid w:val="007246DB"/>
    <w:rsid w:val="007249B1"/>
    <w:rsid w:val="00727853"/>
    <w:rsid w:val="007301A3"/>
    <w:rsid w:val="007301FA"/>
    <w:rsid w:val="00730CA3"/>
    <w:rsid w:val="00731737"/>
    <w:rsid w:val="007331D1"/>
    <w:rsid w:val="007334CA"/>
    <w:rsid w:val="00735186"/>
    <w:rsid w:val="007356C1"/>
    <w:rsid w:val="00737409"/>
    <w:rsid w:val="00740396"/>
    <w:rsid w:val="0074062A"/>
    <w:rsid w:val="00742114"/>
    <w:rsid w:val="0074252B"/>
    <w:rsid w:val="00742C71"/>
    <w:rsid w:val="007447DD"/>
    <w:rsid w:val="00747401"/>
    <w:rsid w:val="00750F58"/>
    <w:rsid w:val="0075439E"/>
    <w:rsid w:val="00754F63"/>
    <w:rsid w:val="0075710B"/>
    <w:rsid w:val="0075722E"/>
    <w:rsid w:val="00761255"/>
    <w:rsid w:val="007627CB"/>
    <w:rsid w:val="007636E5"/>
    <w:rsid w:val="007641D4"/>
    <w:rsid w:val="00764E7F"/>
    <w:rsid w:val="00765FF1"/>
    <w:rsid w:val="007663A3"/>
    <w:rsid w:val="00766C07"/>
    <w:rsid w:val="00767783"/>
    <w:rsid w:val="007705BF"/>
    <w:rsid w:val="00771090"/>
    <w:rsid w:val="00772EBB"/>
    <w:rsid w:val="00773A7A"/>
    <w:rsid w:val="00773AF0"/>
    <w:rsid w:val="00773F54"/>
    <w:rsid w:val="0077611E"/>
    <w:rsid w:val="0077698B"/>
    <w:rsid w:val="00777B71"/>
    <w:rsid w:val="007815B5"/>
    <w:rsid w:val="007815C7"/>
    <w:rsid w:val="00782834"/>
    <w:rsid w:val="00784DFC"/>
    <w:rsid w:val="00785431"/>
    <w:rsid w:val="007857E7"/>
    <w:rsid w:val="00790089"/>
    <w:rsid w:val="0079196D"/>
    <w:rsid w:val="00792677"/>
    <w:rsid w:val="00793399"/>
    <w:rsid w:val="00795365"/>
    <w:rsid w:val="00797FFB"/>
    <w:rsid w:val="007A164E"/>
    <w:rsid w:val="007A3719"/>
    <w:rsid w:val="007A3ED8"/>
    <w:rsid w:val="007A3F32"/>
    <w:rsid w:val="007A601B"/>
    <w:rsid w:val="007B16DD"/>
    <w:rsid w:val="007B38A3"/>
    <w:rsid w:val="007B4B28"/>
    <w:rsid w:val="007B4C48"/>
    <w:rsid w:val="007B5013"/>
    <w:rsid w:val="007B68E5"/>
    <w:rsid w:val="007B70A8"/>
    <w:rsid w:val="007C00D1"/>
    <w:rsid w:val="007C1AED"/>
    <w:rsid w:val="007C24DC"/>
    <w:rsid w:val="007C2539"/>
    <w:rsid w:val="007C282D"/>
    <w:rsid w:val="007C33E2"/>
    <w:rsid w:val="007C37B9"/>
    <w:rsid w:val="007C5BBD"/>
    <w:rsid w:val="007C6242"/>
    <w:rsid w:val="007C7B1F"/>
    <w:rsid w:val="007D0841"/>
    <w:rsid w:val="007D2974"/>
    <w:rsid w:val="007D43FE"/>
    <w:rsid w:val="007D721B"/>
    <w:rsid w:val="007E1004"/>
    <w:rsid w:val="007E15E0"/>
    <w:rsid w:val="007E1A11"/>
    <w:rsid w:val="007E27F3"/>
    <w:rsid w:val="007E2C51"/>
    <w:rsid w:val="007E3914"/>
    <w:rsid w:val="007E3C22"/>
    <w:rsid w:val="007E458D"/>
    <w:rsid w:val="007E5A95"/>
    <w:rsid w:val="007E624D"/>
    <w:rsid w:val="007E6D33"/>
    <w:rsid w:val="007F5565"/>
    <w:rsid w:val="007F55B7"/>
    <w:rsid w:val="00801813"/>
    <w:rsid w:val="00803A81"/>
    <w:rsid w:val="00803BB1"/>
    <w:rsid w:val="0080755D"/>
    <w:rsid w:val="00814512"/>
    <w:rsid w:val="00816BBC"/>
    <w:rsid w:val="00816F5E"/>
    <w:rsid w:val="00823FEC"/>
    <w:rsid w:val="008300B9"/>
    <w:rsid w:val="00830669"/>
    <w:rsid w:val="008323DD"/>
    <w:rsid w:val="008330CB"/>
    <w:rsid w:val="00833477"/>
    <w:rsid w:val="00834581"/>
    <w:rsid w:val="00835E95"/>
    <w:rsid w:val="00836130"/>
    <w:rsid w:val="00847137"/>
    <w:rsid w:val="00847873"/>
    <w:rsid w:val="00847FDE"/>
    <w:rsid w:val="00850924"/>
    <w:rsid w:val="00852906"/>
    <w:rsid w:val="00854577"/>
    <w:rsid w:val="008552BC"/>
    <w:rsid w:val="008608DA"/>
    <w:rsid w:val="00861F53"/>
    <w:rsid w:val="008635E7"/>
    <w:rsid w:val="008641FA"/>
    <w:rsid w:val="00867C98"/>
    <w:rsid w:val="00867E94"/>
    <w:rsid w:val="00870B44"/>
    <w:rsid w:val="00871724"/>
    <w:rsid w:val="00872FBE"/>
    <w:rsid w:val="0087357C"/>
    <w:rsid w:val="00874D3E"/>
    <w:rsid w:val="00874EE8"/>
    <w:rsid w:val="008762E2"/>
    <w:rsid w:val="00876D63"/>
    <w:rsid w:val="008770A3"/>
    <w:rsid w:val="00877F90"/>
    <w:rsid w:val="008809BA"/>
    <w:rsid w:val="00881996"/>
    <w:rsid w:val="00881E66"/>
    <w:rsid w:val="0088348C"/>
    <w:rsid w:val="008850C7"/>
    <w:rsid w:val="00891AE6"/>
    <w:rsid w:val="00891E48"/>
    <w:rsid w:val="00893620"/>
    <w:rsid w:val="008966F1"/>
    <w:rsid w:val="008A2084"/>
    <w:rsid w:val="008A3E25"/>
    <w:rsid w:val="008B07C7"/>
    <w:rsid w:val="008B1A74"/>
    <w:rsid w:val="008B2C44"/>
    <w:rsid w:val="008B5439"/>
    <w:rsid w:val="008C1354"/>
    <w:rsid w:val="008C4173"/>
    <w:rsid w:val="008C4E07"/>
    <w:rsid w:val="008C6E70"/>
    <w:rsid w:val="008C7010"/>
    <w:rsid w:val="008D1970"/>
    <w:rsid w:val="008D1B7B"/>
    <w:rsid w:val="008E0AB4"/>
    <w:rsid w:val="008E2344"/>
    <w:rsid w:val="008E2942"/>
    <w:rsid w:val="008E7119"/>
    <w:rsid w:val="008E7E32"/>
    <w:rsid w:val="008F206D"/>
    <w:rsid w:val="008F6BCD"/>
    <w:rsid w:val="008F7E52"/>
    <w:rsid w:val="00901422"/>
    <w:rsid w:val="00902533"/>
    <w:rsid w:val="009029F3"/>
    <w:rsid w:val="00904E24"/>
    <w:rsid w:val="00906A8F"/>
    <w:rsid w:val="009103AE"/>
    <w:rsid w:val="00910962"/>
    <w:rsid w:val="0091100B"/>
    <w:rsid w:val="0091134F"/>
    <w:rsid w:val="009117AF"/>
    <w:rsid w:val="00911A82"/>
    <w:rsid w:val="00912877"/>
    <w:rsid w:val="009129DC"/>
    <w:rsid w:val="009144AB"/>
    <w:rsid w:val="00914B45"/>
    <w:rsid w:val="00915747"/>
    <w:rsid w:val="00920F1B"/>
    <w:rsid w:val="009215B4"/>
    <w:rsid w:val="00922B4D"/>
    <w:rsid w:val="00922BA5"/>
    <w:rsid w:val="00923722"/>
    <w:rsid w:val="009257A1"/>
    <w:rsid w:val="0092580F"/>
    <w:rsid w:val="00926372"/>
    <w:rsid w:val="00926729"/>
    <w:rsid w:val="00926B5C"/>
    <w:rsid w:val="009329C6"/>
    <w:rsid w:val="00932AFF"/>
    <w:rsid w:val="0093575D"/>
    <w:rsid w:val="0094277B"/>
    <w:rsid w:val="009466A4"/>
    <w:rsid w:val="009467D9"/>
    <w:rsid w:val="009472ED"/>
    <w:rsid w:val="00947C18"/>
    <w:rsid w:val="00950CAC"/>
    <w:rsid w:val="00950F6A"/>
    <w:rsid w:val="00951A57"/>
    <w:rsid w:val="00951C91"/>
    <w:rsid w:val="009537E2"/>
    <w:rsid w:val="00953A23"/>
    <w:rsid w:val="0095597D"/>
    <w:rsid w:val="00957088"/>
    <w:rsid w:val="00957C37"/>
    <w:rsid w:val="00962000"/>
    <w:rsid w:val="00963B86"/>
    <w:rsid w:val="00967B8D"/>
    <w:rsid w:val="00967F55"/>
    <w:rsid w:val="00970D0B"/>
    <w:rsid w:val="009716FC"/>
    <w:rsid w:val="0097304F"/>
    <w:rsid w:val="009735FA"/>
    <w:rsid w:val="0097461F"/>
    <w:rsid w:val="00974B4D"/>
    <w:rsid w:val="00981667"/>
    <w:rsid w:val="00982909"/>
    <w:rsid w:val="00984EA3"/>
    <w:rsid w:val="0098524B"/>
    <w:rsid w:val="00991AEA"/>
    <w:rsid w:val="00996F9A"/>
    <w:rsid w:val="009B124C"/>
    <w:rsid w:val="009B39D1"/>
    <w:rsid w:val="009B6170"/>
    <w:rsid w:val="009B6C49"/>
    <w:rsid w:val="009C2641"/>
    <w:rsid w:val="009C66BB"/>
    <w:rsid w:val="009C7702"/>
    <w:rsid w:val="009D5614"/>
    <w:rsid w:val="009D5FF3"/>
    <w:rsid w:val="009D79A1"/>
    <w:rsid w:val="009E1D5C"/>
    <w:rsid w:val="009E56E9"/>
    <w:rsid w:val="009E62AA"/>
    <w:rsid w:val="009E6A99"/>
    <w:rsid w:val="009E7AD2"/>
    <w:rsid w:val="009E7F7A"/>
    <w:rsid w:val="009F0CAD"/>
    <w:rsid w:val="009F1C52"/>
    <w:rsid w:val="009F2F58"/>
    <w:rsid w:val="009F3D29"/>
    <w:rsid w:val="009F5CEE"/>
    <w:rsid w:val="009F7D8B"/>
    <w:rsid w:val="00A0092E"/>
    <w:rsid w:val="00A01F99"/>
    <w:rsid w:val="00A02E9A"/>
    <w:rsid w:val="00A0461B"/>
    <w:rsid w:val="00A053CD"/>
    <w:rsid w:val="00A056CB"/>
    <w:rsid w:val="00A05CCF"/>
    <w:rsid w:val="00A07AAC"/>
    <w:rsid w:val="00A07C9D"/>
    <w:rsid w:val="00A14592"/>
    <w:rsid w:val="00A2063A"/>
    <w:rsid w:val="00A215D4"/>
    <w:rsid w:val="00A2381A"/>
    <w:rsid w:val="00A25381"/>
    <w:rsid w:val="00A25FE4"/>
    <w:rsid w:val="00A3167A"/>
    <w:rsid w:val="00A31D8E"/>
    <w:rsid w:val="00A32EDF"/>
    <w:rsid w:val="00A33BDA"/>
    <w:rsid w:val="00A340EE"/>
    <w:rsid w:val="00A3624C"/>
    <w:rsid w:val="00A376D5"/>
    <w:rsid w:val="00A37847"/>
    <w:rsid w:val="00A40357"/>
    <w:rsid w:val="00A4048F"/>
    <w:rsid w:val="00A4083F"/>
    <w:rsid w:val="00A413D1"/>
    <w:rsid w:val="00A41FCF"/>
    <w:rsid w:val="00A42FFF"/>
    <w:rsid w:val="00A4376C"/>
    <w:rsid w:val="00A45298"/>
    <w:rsid w:val="00A46800"/>
    <w:rsid w:val="00A50162"/>
    <w:rsid w:val="00A505F4"/>
    <w:rsid w:val="00A5212A"/>
    <w:rsid w:val="00A535E1"/>
    <w:rsid w:val="00A5460D"/>
    <w:rsid w:val="00A56A4B"/>
    <w:rsid w:val="00A56BCF"/>
    <w:rsid w:val="00A61073"/>
    <w:rsid w:val="00A62BD1"/>
    <w:rsid w:val="00A640F0"/>
    <w:rsid w:val="00A665ED"/>
    <w:rsid w:val="00A67758"/>
    <w:rsid w:val="00A717FA"/>
    <w:rsid w:val="00A757A5"/>
    <w:rsid w:val="00A75BBC"/>
    <w:rsid w:val="00A8251D"/>
    <w:rsid w:val="00A84FF1"/>
    <w:rsid w:val="00A850A0"/>
    <w:rsid w:val="00A86864"/>
    <w:rsid w:val="00A86D22"/>
    <w:rsid w:val="00A86E78"/>
    <w:rsid w:val="00A878C3"/>
    <w:rsid w:val="00A87BE1"/>
    <w:rsid w:val="00A903D6"/>
    <w:rsid w:val="00A904D1"/>
    <w:rsid w:val="00A91759"/>
    <w:rsid w:val="00A94D9A"/>
    <w:rsid w:val="00A96709"/>
    <w:rsid w:val="00AA4D08"/>
    <w:rsid w:val="00AA6AD8"/>
    <w:rsid w:val="00AA6B0C"/>
    <w:rsid w:val="00AA6D68"/>
    <w:rsid w:val="00AB11DD"/>
    <w:rsid w:val="00AB121E"/>
    <w:rsid w:val="00AB36C7"/>
    <w:rsid w:val="00AB5101"/>
    <w:rsid w:val="00AC197B"/>
    <w:rsid w:val="00AC1BFF"/>
    <w:rsid w:val="00AC1EAE"/>
    <w:rsid w:val="00AC2DBA"/>
    <w:rsid w:val="00AC432E"/>
    <w:rsid w:val="00AC5E5A"/>
    <w:rsid w:val="00AC60CF"/>
    <w:rsid w:val="00AC7585"/>
    <w:rsid w:val="00AD04C4"/>
    <w:rsid w:val="00AD0B19"/>
    <w:rsid w:val="00AD4068"/>
    <w:rsid w:val="00AD5602"/>
    <w:rsid w:val="00AD5D1F"/>
    <w:rsid w:val="00AE03BF"/>
    <w:rsid w:val="00AE2C63"/>
    <w:rsid w:val="00AE32B5"/>
    <w:rsid w:val="00AF0AE1"/>
    <w:rsid w:val="00AF2B0C"/>
    <w:rsid w:val="00AF5551"/>
    <w:rsid w:val="00AF5ACE"/>
    <w:rsid w:val="00AF68BC"/>
    <w:rsid w:val="00AF7572"/>
    <w:rsid w:val="00AF7C6E"/>
    <w:rsid w:val="00AF7E0C"/>
    <w:rsid w:val="00B02E8C"/>
    <w:rsid w:val="00B02F2F"/>
    <w:rsid w:val="00B03104"/>
    <w:rsid w:val="00B032B9"/>
    <w:rsid w:val="00B03942"/>
    <w:rsid w:val="00B03FBE"/>
    <w:rsid w:val="00B0774A"/>
    <w:rsid w:val="00B07DA0"/>
    <w:rsid w:val="00B14B6D"/>
    <w:rsid w:val="00B1588C"/>
    <w:rsid w:val="00B1648A"/>
    <w:rsid w:val="00B16B5E"/>
    <w:rsid w:val="00B16CBE"/>
    <w:rsid w:val="00B171AE"/>
    <w:rsid w:val="00B17649"/>
    <w:rsid w:val="00B209E7"/>
    <w:rsid w:val="00B21AB8"/>
    <w:rsid w:val="00B26250"/>
    <w:rsid w:val="00B27A86"/>
    <w:rsid w:val="00B303CA"/>
    <w:rsid w:val="00B3050F"/>
    <w:rsid w:val="00B30710"/>
    <w:rsid w:val="00B351F4"/>
    <w:rsid w:val="00B36682"/>
    <w:rsid w:val="00B37D1A"/>
    <w:rsid w:val="00B4029F"/>
    <w:rsid w:val="00B407FC"/>
    <w:rsid w:val="00B408ED"/>
    <w:rsid w:val="00B41EA6"/>
    <w:rsid w:val="00B44160"/>
    <w:rsid w:val="00B44872"/>
    <w:rsid w:val="00B4655A"/>
    <w:rsid w:val="00B477FE"/>
    <w:rsid w:val="00B51CA0"/>
    <w:rsid w:val="00B51D4B"/>
    <w:rsid w:val="00B52232"/>
    <w:rsid w:val="00B53947"/>
    <w:rsid w:val="00B551C8"/>
    <w:rsid w:val="00B557AC"/>
    <w:rsid w:val="00B563DD"/>
    <w:rsid w:val="00B604BF"/>
    <w:rsid w:val="00B610F1"/>
    <w:rsid w:val="00B63917"/>
    <w:rsid w:val="00B64E1A"/>
    <w:rsid w:val="00B665B4"/>
    <w:rsid w:val="00B70A4B"/>
    <w:rsid w:val="00B70F98"/>
    <w:rsid w:val="00B74229"/>
    <w:rsid w:val="00B753E1"/>
    <w:rsid w:val="00B75FAC"/>
    <w:rsid w:val="00B76947"/>
    <w:rsid w:val="00B7709D"/>
    <w:rsid w:val="00B806BF"/>
    <w:rsid w:val="00B80934"/>
    <w:rsid w:val="00B817EB"/>
    <w:rsid w:val="00B8290A"/>
    <w:rsid w:val="00B852FC"/>
    <w:rsid w:val="00B86432"/>
    <w:rsid w:val="00B86A35"/>
    <w:rsid w:val="00B879DE"/>
    <w:rsid w:val="00B87F34"/>
    <w:rsid w:val="00B907ED"/>
    <w:rsid w:val="00B932C2"/>
    <w:rsid w:val="00B93DC7"/>
    <w:rsid w:val="00B94DE8"/>
    <w:rsid w:val="00B951E9"/>
    <w:rsid w:val="00B95848"/>
    <w:rsid w:val="00B9652F"/>
    <w:rsid w:val="00B96EE6"/>
    <w:rsid w:val="00B973FD"/>
    <w:rsid w:val="00BA131B"/>
    <w:rsid w:val="00BA14EC"/>
    <w:rsid w:val="00BA4450"/>
    <w:rsid w:val="00BA5F5F"/>
    <w:rsid w:val="00BA6F9A"/>
    <w:rsid w:val="00BA773B"/>
    <w:rsid w:val="00BB0040"/>
    <w:rsid w:val="00BB0FC9"/>
    <w:rsid w:val="00BB1A04"/>
    <w:rsid w:val="00BB2C6C"/>
    <w:rsid w:val="00BB2E20"/>
    <w:rsid w:val="00BB463E"/>
    <w:rsid w:val="00BC190D"/>
    <w:rsid w:val="00BC29EE"/>
    <w:rsid w:val="00BC2DC7"/>
    <w:rsid w:val="00BC31DF"/>
    <w:rsid w:val="00BC4079"/>
    <w:rsid w:val="00BC42E9"/>
    <w:rsid w:val="00BC6625"/>
    <w:rsid w:val="00BD2216"/>
    <w:rsid w:val="00BD5E08"/>
    <w:rsid w:val="00BD6941"/>
    <w:rsid w:val="00BD7B31"/>
    <w:rsid w:val="00BD7C22"/>
    <w:rsid w:val="00BE0293"/>
    <w:rsid w:val="00BE130A"/>
    <w:rsid w:val="00BE14C9"/>
    <w:rsid w:val="00BE3681"/>
    <w:rsid w:val="00BE47C8"/>
    <w:rsid w:val="00BE4D3D"/>
    <w:rsid w:val="00BE7124"/>
    <w:rsid w:val="00BF0703"/>
    <w:rsid w:val="00BF1E30"/>
    <w:rsid w:val="00BF7C93"/>
    <w:rsid w:val="00BF7DF4"/>
    <w:rsid w:val="00C0111F"/>
    <w:rsid w:val="00C0172C"/>
    <w:rsid w:val="00C02E9A"/>
    <w:rsid w:val="00C101D6"/>
    <w:rsid w:val="00C1046A"/>
    <w:rsid w:val="00C1060F"/>
    <w:rsid w:val="00C10DB3"/>
    <w:rsid w:val="00C1220D"/>
    <w:rsid w:val="00C166BE"/>
    <w:rsid w:val="00C20AE9"/>
    <w:rsid w:val="00C21BA2"/>
    <w:rsid w:val="00C25E8B"/>
    <w:rsid w:val="00C306B2"/>
    <w:rsid w:val="00C30D92"/>
    <w:rsid w:val="00C31616"/>
    <w:rsid w:val="00C32DEC"/>
    <w:rsid w:val="00C361A1"/>
    <w:rsid w:val="00C370BE"/>
    <w:rsid w:val="00C37688"/>
    <w:rsid w:val="00C4152D"/>
    <w:rsid w:val="00C41675"/>
    <w:rsid w:val="00C42D61"/>
    <w:rsid w:val="00C436FA"/>
    <w:rsid w:val="00C43C47"/>
    <w:rsid w:val="00C45E6F"/>
    <w:rsid w:val="00C476FD"/>
    <w:rsid w:val="00C510E5"/>
    <w:rsid w:val="00C5271B"/>
    <w:rsid w:val="00C566EA"/>
    <w:rsid w:val="00C57408"/>
    <w:rsid w:val="00C608C2"/>
    <w:rsid w:val="00C622C7"/>
    <w:rsid w:val="00C627D3"/>
    <w:rsid w:val="00C628A8"/>
    <w:rsid w:val="00C62D54"/>
    <w:rsid w:val="00C6314B"/>
    <w:rsid w:val="00C63ADD"/>
    <w:rsid w:val="00C63BDF"/>
    <w:rsid w:val="00C647A9"/>
    <w:rsid w:val="00C64FF3"/>
    <w:rsid w:val="00C72265"/>
    <w:rsid w:val="00C734F6"/>
    <w:rsid w:val="00C74160"/>
    <w:rsid w:val="00C74477"/>
    <w:rsid w:val="00C74FB2"/>
    <w:rsid w:val="00C771D5"/>
    <w:rsid w:val="00C77DAD"/>
    <w:rsid w:val="00C81935"/>
    <w:rsid w:val="00C81FA8"/>
    <w:rsid w:val="00C84807"/>
    <w:rsid w:val="00C908A8"/>
    <w:rsid w:val="00C92460"/>
    <w:rsid w:val="00C96637"/>
    <w:rsid w:val="00CA10C1"/>
    <w:rsid w:val="00CA377D"/>
    <w:rsid w:val="00CA7233"/>
    <w:rsid w:val="00CB0193"/>
    <w:rsid w:val="00CB046C"/>
    <w:rsid w:val="00CB20FF"/>
    <w:rsid w:val="00CB3015"/>
    <w:rsid w:val="00CB3BB1"/>
    <w:rsid w:val="00CB4B01"/>
    <w:rsid w:val="00CC2036"/>
    <w:rsid w:val="00CC2074"/>
    <w:rsid w:val="00CC2C65"/>
    <w:rsid w:val="00CC327D"/>
    <w:rsid w:val="00CC40C5"/>
    <w:rsid w:val="00CC5723"/>
    <w:rsid w:val="00CC6597"/>
    <w:rsid w:val="00CD1697"/>
    <w:rsid w:val="00CD23E1"/>
    <w:rsid w:val="00CD2993"/>
    <w:rsid w:val="00CD38DD"/>
    <w:rsid w:val="00CD537D"/>
    <w:rsid w:val="00CE0A4A"/>
    <w:rsid w:val="00CE33A7"/>
    <w:rsid w:val="00CE3E32"/>
    <w:rsid w:val="00CE7543"/>
    <w:rsid w:val="00CF07A9"/>
    <w:rsid w:val="00CF136D"/>
    <w:rsid w:val="00CF4878"/>
    <w:rsid w:val="00CF5F43"/>
    <w:rsid w:val="00CF6633"/>
    <w:rsid w:val="00CF7C03"/>
    <w:rsid w:val="00D031D0"/>
    <w:rsid w:val="00D03862"/>
    <w:rsid w:val="00D04A9A"/>
    <w:rsid w:val="00D055CF"/>
    <w:rsid w:val="00D05EDD"/>
    <w:rsid w:val="00D072E4"/>
    <w:rsid w:val="00D079D4"/>
    <w:rsid w:val="00D1047D"/>
    <w:rsid w:val="00D10AE2"/>
    <w:rsid w:val="00D10E4A"/>
    <w:rsid w:val="00D12139"/>
    <w:rsid w:val="00D157D9"/>
    <w:rsid w:val="00D1605E"/>
    <w:rsid w:val="00D16669"/>
    <w:rsid w:val="00D16C26"/>
    <w:rsid w:val="00D17F2E"/>
    <w:rsid w:val="00D207C4"/>
    <w:rsid w:val="00D21531"/>
    <w:rsid w:val="00D218A2"/>
    <w:rsid w:val="00D259D4"/>
    <w:rsid w:val="00D26782"/>
    <w:rsid w:val="00D26CE3"/>
    <w:rsid w:val="00D27C3B"/>
    <w:rsid w:val="00D3180C"/>
    <w:rsid w:val="00D31BA2"/>
    <w:rsid w:val="00D32601"/>
    <w:rsid w:val="00D33989"/>
    <w:rsid w:val="00D355DA"/>
    <w:rsid w:val="00D35FFA"/>
    <w:rsid w:val="00D36A9B"/>
    <w:rsid w:val="00D379E0"/>
    <w:rsid w:val="00D37A82"/>
    <w:rsid w:val="00D37E5C"/>
    <w:rsid w:val="00D40722"/>
    <w:rsid w:val="00D4109C"/>
    <w:rsid w:val="00D42DC7"/>
    <w:rsid w:val="00D440F3"/>
    <w:rsid w:val="00D4565B"/>
    <w:rsid w:val="00D47BA0"/>
    <w:rsid w:val="00D50330"/>
    <w:rsid w:val="00D521A6"/>
    <w:rsid w:val="00D52F7D"/>
    <w:rsid w:val="00D53480"/>
    <w:rsid w:val="00D5437B"/>
    <w:rsid w:val="00D549BA"/>
    <w:rsid w:val="00D5715F"/>
    <w:rsid w:val="00D57BF6"/>
    <w:rsid w:val="00D57F33"/>
    <w:rsid w:val="00D6028D"/>
    <w:rsid w:val="00D61986"/>
    <w:rsid w:val="00D66061"/>
    <w:rsid w:val="00D661B1"/>
    <w:rsid w:val="00D700DE"/>
    <w:rsid w:val="00D70C4C"/>
    <w:rsid w:val="00D71CA3"/>
    <w:rsid w:val="00D71D32"/>
    <w:rsid w:val="00D730A3"/>
    <w:rsid w:val="00D7345C"/>
    <w:rsid w:val="00D73656"/>
    <w:rsid w:val="00D7564C"/>
    <w:rsid w:val="00D814DC"/>
    <w:rsid w:val="00D84670"/>
    <w:rsid w:val="00D84DC7"/>
    <w:rsid w:val="00D856D1"/>
    <w:rsid w:val="00D867A7"/>
    <w:rsid w:val="00D86E23"/>
    <w:rsid w:val="00D87345"/>
    <w:rsid w:val="00D87D14"/>
    <w:rsid w:val="00D90251"/>
    <w:rsid w:val="00D90A61"/>
    <w:rsid w:val="00D92B05"/>
    <w:rsid w:val="00D96C55"/>
    <w:rsid w:val="00DA179C"/>
    <w:rsid w:val="00DA1EF1"/>
    <w:rsid w:val="00DA2387"/>
    <w:rsid w:val="00DA2809"/>
    <w:rsid w:val="00DA3171"/>
    <w:rsid w:val="00DA6769"/>
    <w:rsid w:val="00DA769B"/>
    <w:rsid w:val="00DA7A71"/>
    <w:rsid w:val="00DB16CF"/>
    <w:rsid w:val="00DB3702"/>
    <w:rsid w:val="00DB4425"/>
    <w:rsid w:val="00DB5736"/>
    <w:rsid w:val="00DB5E36"/>
    <w:rsid w:val="00DC1D29"/>
    <w:rsid w:val="00DC21BD"/>
    <w:rsid w:val="00DC24D2"/>
    <w:rsid w:val="00DC2B94"/>
    <w:rsid w:val="00DC46A7"/>
    <w:rsid w:val="00DC517F"/>
    <w:rsid w:val="00DC6CDD"/>
    <w:rsid w:val="00DC76EE"/>
    <w:rsid w:val="00DC7A33"/>
    <w:rsid w:val="00DC7B99"/>
    <w:rsid w:val="00DD136F"/>
    <w:rsid w:val="00DD1A94"/>
    <w:rsid w:val="00DD1FD0"/>
    <w:rsid w:val="00DD3D37"/>
    <w:rsid w:val="00DD40EF"/>
    <w:rsid w:val="00DD4AA5"/>
    <w:rsid w:val="00DD4B17"/>
    <w:rsid w:val="00DD4C59"/>
    <w:rsid w:val="00DD4CF0"/>
    <w:rsid w:val="00DD61F5"/>
    <w:rsid w:val="00DD75CF"/>
    <w:rsid w:val="00DD7E49"/>
    <w:rsid w:val="00DE0FE1"/>
    <w:rsid w:val="00DE1D84"/>
    <w:rsid w:val="00DE340B"/>
    <w:rsid w:val="00DE3D43"/>
    <w:rsid w:val="00DE4254"/>
    <w:rsid w:val="00DF03D5"/>
    <w:rsid w:val="00DF1D38"/>
    <w:rsid w:val="00DF20B8"/>
    <w:rsid w:val="00DF2676"/>
    <w:rsid w:val="00DF2F16"/>
    <w:rsid w:val="00DF322A"/>
    <w:rsid w:val="00DF410A"/>
    <w:rsid w:val="00DF6149"/>
    <w:rsid w:val="00DF6855"/>
    <w:rsid w:val="00E00E09"/>
    <w:rsid w:val="00E0238C"/>
    <w:rsid w:val="00E04CB3"/>
    <w:rsid w:val="00E06291"/>
    <w:rsid w:val="00E07344"/>
    <w:rsid w:val="00E101BD"/>
    <w:rsid w:val="00E10770"/>
    <w:rsid w:val="00E13B2E"/>
    <w:rsid w:val="00E13D36"/>
    <w:rsid w:val="00E140FF"/>
    <w:rsid w:val="00E15647"/>
    <w:rsid w:val="00E159D4"/>
    <w:rsid w:val="00E20207"/>
    <w:rsid w:val="00E20F17"/>
    <w:rsid w:val="00E21086"/>
    <w:rsid w:val="00E21309"/>
    <w:rsid w:val="00E22061"/>
    <w:rsid w:val="00E24FEC"/>
    <w:rsid w:val="00E25E8E"/>
    <w:rsid w:val="00E301EB"/>
    <w:rsid w:val="00E30E4A"/>
    <w:rsid w:val="00E313F2"/>
    <w:rsid w:val="00E415B6"/>
    <w:rsid w:val="00E4439E"/>
    <w:rsid w:val="00E44B89"/>
    <w:rsid w:val="00E456AA"/>
    <w:rsid w:val="00E471BE"/>
    <w:rsid w:val="00E47C53"/>
    <w:rsid w:val="00E513DA"/>
    <w:rsid w:val="00E54029"/>
    <w:rsid w:val="00E54ABE"/>
    <w:rsid w:val="00E54E15"/>
    <w:rsid w:val="00E55800"/>
    <w:rsid w:val="00E55C24"/>
    <w:rsid w:val="00E56360"/>
    <w:rsid w:val="00E564F2"/>
    <w:rsid w:val="00E568E3"/>
    <w:rsid w:val="00E57915"/>
    <w:rsid w:val="00E613F1"/>
    <w:rsid w:val="00E63332"/>
    <w:rsid w:val="00E65E88"/>
    <w:rsid w:val="00E678D3"/>
    <w:rsid w:val="00E67E80"/>
    <w:rsid w:val="00E70A24"/>
    <w:rsid w:val="00E714C5"/>
    <w:rsid w:val="00E72496"/>
    <w:rsid w:val="00E73322"/>
    <w:rsid w:val="00E758C1"/>
    <w:rsid w:val="00E80767"/>
    <w:rsid w:val="00E80940"/>
    <w:rsid w:val="00E80DB2"/>
    <w:rsid w:val="00E813B9"/>
    <w:rsid w:val="00E86386"/>
    <w:rsid w:val="00E86B96"/>
    <w:rsid w:val="00E87593"/>
    <w:rsid w:val="00E87AD4"/>
    <w:rsid w:val="00E900EA"/>
    <w:rsid w:val="00E907A3"/>
    <w:rsid w:val="00E92456"/>
    <w:rsid w:val="00E92B51"/>
    <w:rsid w:val="00E933DD"/>
    <w:rsid w:val="00E93EEA"/>
    <w:rsid w:val="00E94010"/>
    <w:rsid w:val="00E95F9C"/>
    <w:rsid w:val="00E967B5"/>
    <w:rsid w:val="00E97468"/>
    <w:rsid w:val="00EA4DDD"/>
    <w:rsid w:val="00EB095C"/>
    <w:rsid w:val="00EB0EAF"/>
    <w:rsid w:val="00EB0F3E"/>
    <w:rsid w:val="00EB71E4"/>
    <w:rsid w:val="00EC0377"/>
    <w:rsid w:val="00EC0734"/>
    <w:rsid w:val="00EC1383"/>
    <w:rsid w:val="00EC19DE"/>
    <w:rsid w:val="00EC3C47"/>
    <w:rsid w:val="00EC4965"/>
    <w:rsid w:val="00EC500A"/>
    <w:rsid w:val="00ED0296"/>
    <w:rsid w:val="00ED092D"/>
    <w:rsid w:val="00ED189C"/>
    <w:rsid w:val="00ED4AB7"/>
    <w:rsid w:val="00EE0165"/>
    <w:rsid w:val="00EE25B0"/>
    <w:rsid w:val="00EE3E88"/>
    <w:rsid w:val="00EE73E7"/>
    <w:rsid w:val="00EE7C1A"/>
    <w:rsid w:val="00EF13E1"/>
    <w:rsid w:val="00EF1F0E"/>
    <w:rsid w:val="00EF1F94"/>
    <w:rsid w:val="00EF2E88"/>
    <w:rsid w:val="00EF3877"/>
    <w:rsid w:val="00EF3E94"/>
    <w:rsid w:val="00EF5195"/>
    <w:rsid w:val="00EF5BF1"/>
    <w:rsid w:val="00EF74CD"/>
    <w:rsid w:val="00EF78CE"/>
    <w:rsid w:val="00F0005C"/>
    <w:rsid w:val="00F042C0"/>
    <w:rsid w:val="00F049CC"/>
    <w:rsid w:val="00F05885"/>
    <w:rsid w:val="00F079C9"/>
    <w:rsid w:val="00F10615"/>
    <w:rsid w:val="00F12628"/>
    <w:rsid w:val="00F147CD"/>
    <w:rsid w:val="00F1627C"/>
    <w:rsid w:val="00F167AF"/>
    <w:rsid w:val="00F21C02"/>
    <w:rsid w:val="00F26316"/>
    <w:rsid w:val="00F27EF8"/>
    <w:rsid w:val="00F3005A"/>
    <w:rsid w:val="00F30329"/>
    <w:rsid w:val="00F31DFE"/>
    <w:rsid w:val="00F32325"/>
    <w:rsid w:val="00F33839"/>
    <w:rsid w:val="00F33F27"/>
    <w:rsid w:val="00F3410F"/>
    <w:rsid w:val="00F34AE7"/>
    <w:rsid w:val="00F34F08"/>
    <w:rsid w:val="00F35159"/>
    <w:rsid w:val="00F352B6"/>
    <w:rsid w:val="00F41A2A"/>
    <w:rsid w:val="00F42174"/>
    <w:rsid w:val="00F43DB2"/>
    <w:rsid w:val="00F47092"/>
    <w:rsid w:val="00F50909"/>
    <w:rsid w:val="00F511B0"/>
    <w:rsid w:val="00F526E2"/>
    <w:rsid w:val="00F53794"/>
    <w:rsid w:val="00F550CA"/>
    <w:rsid w:val="00F5524C"/>
    <w:rsid w:val="00F55E36"/>
    <w:rsid w:val="00F56BEA"/>
    <w:rsid w:val="00F5746A"/>
    <w:rsid w:val="00F57D8F"/>
    <w:rsid w:val="00F619BA"/>
    <w:rsid w:val="00F6209F"/>
    <w:rsid w:val="00F6505F"/>
    <w:rsid w:val="00F6543E"/>
    <w:rsid w:val="00F659C5"/>
    <w:rsid w:val="00F7355B"/>
    <w:rsid w:val="00F73BC1"/>
    <w:rsid w:val="00F7457D"/>
    <w:rsid w:val="00F76C23"/>
    <w:rsid w:val="00F77EEA"/>
    <w:rsid w:val="00F80BEE"/>
    <w:rsid w:val="00F820CD"/>
    <w:rsid w:val="00F85366"/>
    <w:rsid w:val="00F8769A"/>
    <w:rsid w:val="00F87D0E"/>
    <w:rsid w:val="00F90C71"/>
    <w:rsid w:val="00F91C97"/>
    <w:rsid w:val="00F93A24"/>
    <w:rsid w:val="00F93D00"/>
    <w:rsid w:val="00F94536"/>
    <w:rsid w:val="00F947EB"/>
    <w:rsid w:val="00F94AA5"/>
    <w:rsid w:val="00F973EC"/>
    <w:rsid w:val="00FA3152"/>
    <w:rsid w:val="00FA7F1B"/>
    <w:rsid w:val="00FB046E"/>
    <w:rsid w:val="00FB0DC5"/>
    <w:rsid w:val="00FB2036"/>
    <w:rsid w:val="00FB24A4"/>
    <w:rsid w:val="00FB2F4E"/>
    <w:rsid w:val="00FB3900"/>
    <w:rsid w:val="00FB403F"/>
    <w:rsid w:val="00FB565A"/>
    <w:rsid w:val="00FB5EA4"/>
    <w:rsid w:val="00FC3F5E"/>
    <w:rsid w:val="00FC45B8"/>
    <w:rsid w:val="00FC705C"/>
    <w:rsid w:val="00FC71DE"/>
    <w:rsid w:val="00FD1806"/>
    <w:rsid w:val="00FD3E4D"/>
    <w:rsid w:val="00FD4649"/>
    <w:rsid w:val="00FD6775"/>
    <w:rsid w:val="00FD6911"/>
    <w:rsid w:val="00FD6A25"/>
    <w:rsid w:val="00FD7035"/>
    <w:rsid w:val="00FD7BCD"/>
    <w:rsid w:val="00FE0499"/>
    <w:rsid w:val="00FE38D6"/>
    <w:rsid w:val="00FE544A"/>
    <w:rsid w:val="00FE60D6"/>
    <w:rsid w:val="00FF0817"/>
    <w:rsid w:val="00FF1556"/>
    <w:rsid w:val="00FF1E4A"/>
    <w:rsid w:val="00FF2DC9"/>
    <w:rsid w:val="00FF47A1"/>
    <w:rsid w:val="00FF552B"/>
    <w:rsid w:val="00FF658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B8A0A"/>
  <w15:docId w15:val="{4AE18522-A1EF-4033-8B6A-53C11E028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62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Heading1Char"/>
    <w:uiPriority w:val="1"/>
    <w:qFormat/>
    <w:rsid w:val="00912877"/>
    <w:pPr>
      <w:widowControl w:val="0"/>
      <w:autoSpaceDE w:val="0"/>
      <w:autoSpaceDN w:val="0"/>
      <w:spacing w:before="118"/>
      <w:ind w:left="1528" w:right="1665"/>
      <w:jc w:val="center"/>
      <w:outlineLvl w:val="0"/>
    </w:pPr>
    <w:rPr>
      <w:rFonts w:ascii="Georgia" w:eastAsia="Georgia" w:hAnsi="Georgia" w:cs="Georgia"/>
      <w:sz w:val="33"/>
      <w:szCs w:val="33"/>
      <w:lang w:val="ro-RO"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Знак,webb, Знак"/>
    <w:basedOn w:val="Normal"/>
    <w:link w:val="NormalWebChar"/>
    <w:uiPriority w:val="99"/>
    <w:qFormat/>
    <w:rsid w:val="006D2F10"/>
    <w:pPr>
      <w:ind w:firstLine="567"/>
      <w:jc w:val="both"/>
    </w:pPr>
  </w:style>
  <w:style w:type="paragraph" w:customStyle="1" w:styleId="Normal0">
    <w:name w:val="[Normal]"/>
    <w:rsid w:val="006D2F10"/>
    <w:pPr>
      <w:suppressAutoHyphens/>
      <w:autoSpaceDE w:val="0"/>
      <w:spacing w:after="0" w:line="240" w:lineRule="auto"/>
    </w:pPr>
    <w:rPr>
      <w:rFonts w:ascii="Arial" w:eastAsia="Arial" w:hAnsi="Arial" w:cs="Arial"/>
      <w:sz w:val="24"/>
      <w:szCs w:val="24"/>
      <w:lang w:eastAsia="ar-SA"/>
    </w:rPr>
  </w:style>
  <w:style w:type="character" w:customStyle="1" w:styleId="apple-style-span">
    <w:name w:val="apple-style-span"/>
    <w:basedOn w:val="DefaultParagraphFont"/>
    <w:rsid w:val="006D2F10"/>
  </w:style>
  <w:style w:type="paragraph" w:styleId="ListParagraph">
    <w:name w:val="List Paragraph"/>
    <w:aliases w:val="Heading1,Bullet Styles para,List Paragraph (numbered (a)),Párrafo de lista,Bullet,Numbered Para 1,Dot pt,No Spacing1,List Paragraph Char Char Char,Indicator Text,Bullet Points,MAIN CONTENT,List Paragraph12,F5 List Paragraph,OBC Bullet"/>
    <w:basedOn w:val="Normal"/>
    <w:link w:val="ListParagraphChar"/>
    <w:uiPriority w:val="34"/>
    <w:qFormat/>
    <w:rsid w:val="006D2F10"/>
    <w:pPr>
      <w:spacing w:after="200" w:line="276" w:lineRule="auto"/>
      <w:ind w:left="720"/>
      <w:contextualSpacing/>
    </w:pPr>
    <w:rPr>
      <w:rFonts w:ascii="Calibri" w:eastAsia="SimSun" w:hAnsi="Calibri"/>
      <w:sz w:val="22"/>
      <w:szCs w:val="22"/>
      <w:lang w:val="ro-RO" w:eastAsia="zh-CN"/>
    </w:rPr>
  </w:style>
  <w:style w:type="paragraph" w:styleId="BalloonText">
    <w:name w:val="Balloon Text"/>
    <w:basedOn w:val="Normal"/>
    <w:link w:val="BalloonTextChar"/>
    <w:uiPriority w:val="99"/>
    <w:semiHidden/>
    <w:unhideWhenUsed/>
    <w:rsid w:val="003A03AA"/>
    <w:rPr>
      <w:rFonts w:ascii="Tahoma" w:hAnsi="Tahoma" w:cs="Tahoma"/>
      <w:sz w:val="16"/>
      <w:szCs w:val="16"/>
    </w:rPr>
  </w:style>
  <w:style w:type="character" w:customStyle="1" w:styleId="BalloonTextChar">
    <w:name w:val="Balloon Text Char"/>
    <w:basedOn w:val="DefaultParagraphFont"/>
    <w:link w:val="BalloonText"/>
    <w:uiPriority w:val="99"/>
    <w:semiHidden/>
    <w:rsid w:val="003A03AA"/>
    <w:rPr>
      <w:rFonts w:ascii="Tahoma" w:eastAsia="Times New Roman" w:hAnsi="Tahoma" w:cs="Tahoma"/>
      <w:sz w:val="16"/>
      <w:szCs w:val="16"/>
      <w:lang w:eastAsia="ru-RU"/>
    </w:rPr>
  </w:style>
  <w:style w:type="character" w:styleId="CommentReference">
    <w:name w:val="annotation reference"/>
    <w:rsid w:val="003A03AA"/>
    <w:rPr>
      <w:sz w:val="16"/>
      <w:szCs w:val="16"/>
    </w:rPr>
  </w:style>
  <w:style w:type="paragraph" w:styleId="CommentText">
    <w:name w:val="annotation text"/>
    <w:basedOn w:val="Normal"/>
    <w:link w:val="CommentTextChar"/>
    <w:rsid w:val="003A03AA"/>
    <w:rPr>
      <w:sz w:val="20"/>
      <w:szCs w:val="20"/>
      <w:lang w:val="ro-RO"/>
    </w:rPr>
  </w:style>
  <w:style w:type="character" w:customStyle="1" w:styleId="CommentTextChar">
    <w:name w:val="Comment Text Char"/>
    <w:basedOn w:val="DefaultParagraphFont"/>
    <w:link w:val="CommentText"/>
    <w:rsid w:val="003A03AA"/>
    <w:rPr>
      <w:rFonts w:ascii="Times New Roman" w:eastAsia="Times New Roman" w:hAnsi="Times New Roman" w:cs="Times New Roman"/>
      <w:sz w:val="20"/>
      <w:szCs w:val="20"/>
      <w:lang w:val="ro-RO" w:eastAsia="ru-RU"/>
    </w:rPr>
  </w:style>
  <w:style w:type="character" w:customStyle="1" w:styleId="Bodytext6">
    <w:name w:val="Body text (6)_"/>
    <w:basedOn w:val="DefaultParagraphFont"/>
    <w:link w:val="Bodytext60"/>
    <w:locked/>
    <w:rsid w:val="007C6242"/>
    <w:rPr>
      <w:rFonts w:ascii="Times New Roman" w:hAnsi="Times New Roman" w:cs="Times New Roman"/>
      <w:i/>
      <w:iCs/>
      <w:sz w:val="28"/>
      <w:szCs w:val="28"/>
      <w:shd w:val="clear" w:color="auto" w:fill="FFFFFF"/>
    </w:rPr>
  </w:style>
  <w:style w:type="paragraph" w:customStyle="1" w:styleId="Bodytext60">
    <w:name w:val="Body text (6)"/>
    <w:basedOn w:val="Normal"/>
    <w:link w:val="Bodytext6"/>
    <w:rsid w:val="007C6242"/>
    <w:pPr>
      <w:widowControl w:val="0"/>
      <w:shd w:val="clear" w:color="auto" w:fill="FFFFFF"/>
      <w:spacing w:line="240" w:lineRule="atLeast"/>
    </w:pPr>
    <w:rPr>
      <w:rFonts w:eastAsiaTheme="minorHAnsi"/>
      <w:i/>
      <w:iCs/>
      <w:sz w:val="28"/>
      <w:szCs w:val="28"/>
      <w:lang w:eastAsia="en-US"/>
    </w:rPr>
  </w:style>
  <w:style w:type="character" w:styleId="Strong">
    <w:name w:val="Strong"/>
    <w:qFormat/>
    <w:rsid w:val="00BE14C9"/>
    <w:rPr>
      <w:b/>
      <w:bCs/>
    </w:rPr>
  </w:style>
  <w:style w:type="character" w:customStyle="1" w:styleId="Heading12NotBold">
    <w:name w:val="Heading #1 (2) + Not Bold"/>
    <w:basedOn w:val="DefaultParagraphFont"/>
    <w:rsid w:val="00F049CC"/>
    <w:rPr>
      <w:rFonts w:ascii="Times New Roman" w:eastAsia="Times New Roman" w:hAnsi="Times New Roman" w:cs="Times New Roman"/>
      <w:b/>
      <w:bCs/>
      <w:i w:val="0"/>
      <w:iCs w:val="0"/>
      <w:smallCaps w:val="0"/>
      <w:strike w:val="0"/>
      <w:color w:val="000000"/>
      <w:spacing w:val="0"/>
      <w:w w:val="100"/>
      <w:position w:val="0"/>
      <w:sz w:val="28"/>
      <w:szCs w:val="28"/>
      <w:u w:val="none"/>
      <w:lang w:val="ro-RO" w:eastAsia="ro-RO" w:bidi="ro-RO"/>
    </w:rPr>
  </w:style>
  <w:style w:type="character" w:customStyle="1" w:styleId="Bodytext2">
    <w:name w:val="Body text (2)_"/>
    <w:basedOn w:val="DefaultParagraphFont"/>
    <w:link w:val="Bodytext20"/>
    <w:rsid w:val="00F049CC"/>
    <w:rPr>
      <w:rFonts w:ascii="Times New Roman" w:eastAsia="Times New Roman" w:hAnsi="Times New Roman" w:cs="Times New Roman"/>
      <w:shd w:val="clear" w:color="auto" w:fill="FFFFFF"/>
    </w:rPr>
  </w:style>
  <w:style w:type="character" w:customStyle="1" w:styleId="Bodytext2Italic">
    <w:name w:val="Body text (2) + Italic"/>
    <w:basedOn w:val="Bodytext2"/>
    <w:rsid w:val="00F049CC"/>
    <w:rPr>
      <w:rFonts w:ascii="Times New Roman" w:eastAsia="Times New Roman" w:hAnsi="Times New Roman" w:cs="Times New Roman"/>
      <w:i/>
      <w:iCs/>
      <w:color w:val="000000"/>
      <w:spacing w:val="0"/>
      <w:w w:val="100"/>
      <w:position w:val="0"/>
      <w:sz w:val="24"/>
      <w:szCs w:val="24"/>
      <w:shd w:val="clear" w:color="auto" w:fill="FFFFFF"/>
      <w:lang w:val="ro-RO" w:eastAsia="ro-RO" w:bidi="ro-RO"/>
    </w:rPr>
  </w:style>
  <w:style w:type="character" w:customStyle="1" w:styleId="Bodytext2Bold">
    <w:name w:val="Body text (2) + Bold"/>
    <w:basedOn w:val="Bodytext2"/>
    <w:rsid w:val="00F049CC"/>
    <w:rPr>
      <w:rFonts w:ascii="Times New Roman" w:eastAsia="Times New Roman" w:hAnsi="Times New Roman" w:cs="Times New Roman"/>
      <w:b/>
      <w:bCs/>
      <w:color w:val="000000"/>
      <w:spacing w:val="0"/>
      <w:w w:val="100"/>
      <w:position w:val="0"/>
      <w:sz w:val="24"/>
      <w:szCs w:val="24"/>
      <w:shd w:val="clear" w:color="auto" w:fill="FFFFFF"/>
      <w:lang w:val="ro-RO" w:eastAsia="ro-RO" w:bidi="ro-RO"/>
    </w:rPr>
  </w:style>
  <w:style w:type="paragraph" w:customStyle="1" w:styleId="Bodytext20">
    <w:name w:val="Body text (2)"/>
    <w:basedOn w:val="Normal"/>
    <w:link w:val="Bodytext2"/>
    <w:rsid w:val="00F049CC"/>
    <w:pPr>
      <w:widowControl w:val="0"/>
      <w:shd w:val="clear" w:color="auto" w:fill="FFFFFF"/>
      <w:spacing w:before="1200" w:after="180" w:line="293" w:lineRule="exact"/>
    </w:pPr>
    <w:rPr>
      <w:sz w:val="22"/>
      <w:szCs w:val="22"/>
      <w:lang w:eastAsia="en-US"/>
    </w:rPr>
  </w:style>
  <w:style w:type="character" w:customStyle="1" w:styleId="Bodytext5">
    <w:name w:val="Body text (5)_"/>
    <w:basedOn w:val="DefaultParagraphFont"/>
    <w:link w:val="Bodytext50"/>
    <w:rsid w:val="00F049CC"/>
    <w:rPr>
      <w:rFonts w:ascii="Times New Roman" w:eastAsia="Times New Roman" w:hAnsi="Times New Roman" w:cs="Times New Roman"/>
      <w:i/>
      <w:iCs/>
      <w:shd w:val="clear" w:color="auto" w:fill="FFFFFF"/>
    </w:rPr>
  </w:style>
  <w:style w:type="character" w:customStyle="1" w:styleId="Bodytext5NotItalic">
    <w:name w:val="Body text (5) + Not Italic"/>
    <w:basedOn w:val="Bodytext5"/>
    <w:rsid w:val="00F049CC"/>
    <w:rPr>
      <w:rFonts w:ascii="Times New Roman" w:eastAsia="Times New Roman" w:hAnsi="Times New Roman" w:cs="Times New Roman"/>
      <w:i/>
      <w:iCs/>
      <w:color w:val="000000"/>
      <w:spacing w:val="0"/>
      <w:w w:val="100"/>
      <w:position w:val="0"/>
      <w:sz w:val="24"/>
      <w:szCs w:val="24"/>
      <w:shd w:val="clear" w:color="auto" w:fill="FFFFFF"/>
      <w:lang w:val="ro-RO" w:eastAsia="ro-RO" w:bidi="ro-RO"/>
    </w:rPr>
  </w:style>
  <w:style w:type="paragraph" w:customStyle="1" w:styleId="Bodytext50">
    <w:name w:val="Body text (5)"/>
    <w:basedOn w:val="Normal"/>
    <w:link w:val="Bodytext5"/>
    <w:rsid w:val="00F049CC"/>
    <w:pPr>
      <w:widowControl w:val="0"/>
      <w:shd w:val="clear" w:color="auto" w:fill="FFFFFF"/>
      <w:spacing w:before="180" w:line="274" w:lineRule="exact"/>
      <w:jc w:val="both"/>
    </w:pPr>
    <w:rPr>
      <w:i/>
      <w:iCs/>
      <w:sz w:val="22"/>
      <w:szCs w:val="22"/>
      <w:lang w:eastAsia="en-US"/>
    </w:rPr>
  </w:style>
  <w:style w:type="character" w:customStyle="1" w:styleId="Heading1Exact">
    <w:name w:val="Heading #1 Exact"/>
    <w:basedOn w:val="DefaultParagraphFont"/>
    <w:rsid w:val="00062932"/>
    <w:rPr>
      <w:rFonts w:ascii="Times New Roman" w:eastAsia="Times New Roman" w:hAnsi="Times New Roman" w:cs="Times New Roman"/>
      <w:b w:val="0"/>
      <w:bCs w:val="0"/>
      <w:i w:val="0"/>
      <w:iCs w:val="0"/>
      <w:smallCaps w:val="0"/>
      <w:strike w:val="0"/>
      <w:sz w:val="28"/>
      <w:szCs w:val="28"/>
      <w:u w:val="none"/>
    </w:rPr>
  </w:style>
  <w:style w:type="character" w:customStyle="1" w:styleId="Bodytext9Exact">
    <w:name w:val="Body text (9) Exact"/>
    <w:basedOn w:val="DefaultParagraphFont"/>
    <w:link w:val="Bodytext9"/>
    <w:rsid w:val="00062932"/>
    <w:rPr>
      <w:rFonts w:ascii="David" w:eastAsia="David" w:hAnsi="David" w:cs="David"/>
      <w:b/>
      <w:bCs/>
      <w:sz w:val="9"/>
      <w:szCs w:val="9"/>
      <w:shd w:val="clear" w:color="auto" w:fill="FFFFFF"/>
    </w:rPr>
  </w:style>
  <w:style w:type="character" w:customStyle="1" w:styleId="Heading10">
    <w:name w:val="Heading #1_"/>
    <w:basedOn w:val="DefaultParagraphFont"/>
    <w:link w:val="Heading11"/>
    <w:rsid w:val="00062932"/>
    <w:rPr>
      <w:rFonts w:ascii="Times New Roman" w:eastAsia="Times New Roman" w:hAnsi="Times New Roman" w:cs="Times New Roman"/>
      <w:sz w:val="28"/>
      <w:szCs w:val="28"/>
      <w:shd w:val="clear" w:color="auto" w:fill="FFFFFF"/>
    </w:rPr>
  </w:style>
  <w:style w:type="paragraph" w:customStyle="1" w:styleId="Heading11">
    <w:name w:val="Heading #1"/>
    <w:basedOn w:val="Normal"/>
    <w:link w:val="Heading10"/>
    <w:rsid w:val="00062932"/>
    <w:pPr>
      <w:widowControl w:val="0"/>
      <w:shd w:val="clear" w:color="auto" w:fill="FFFFFF"/>
      <w:spacing w:before="900" w:after="1200" w:line="322" w:lineRule="exact"/>
      <w:jc w:val="right"/>
      <w:outlineLvl w:val="0"/>
    </w:pPr>
    <w:rPr>
      <w:sz w:val="28"/>
      <w:szCs w:val="28"/>
      <w:lang w:eastAsia="en-US"/>
    </w:rPr>
  </w:style>
  <w:style w:type="paragraph" w:customStyle="1" w:styleId="Bodytext9">
    <w:name w:val="Body text (9)"/>
    <w:basedOn w:val="Normal"/>
    <w:link w:val="Bodytext9Exact"/>
    <w:rsid w:val="00062932"/>
    <w:pPr>
      <w:widowControl w:val="0"/>
      <w:shd w:val="clear" w:color="auto" w:fill="FFFFFF"/>
      <w:spacing w:line="0" w:lineRule="atLeast"/>
    </w:pPr>
    <w:rPr>
      <w:rFonts w:ascii="David" w:eastAsia="David" w:hAnsi="David" w:cs="David"/>
      <w:b/>
      <w:bCs/>
      <w:sz w:val="9"/>
      <w:szCs w:val="9"/>
      <w:lang w:eastAsia="en-US"/>
    </w:rPr>
  </w:style>
  <w:style w:type="character" w:customStyle="1" w:styleId="Bodytext10BoldNotItalic">
    <w:name w:val="Body text (10) + Bold.Not Italic"/>
    <w:basedOn w:val="DefaultParagraphFont"/>
    <w:rsid w:val="005C32E6"/>
    <w:rPr>
      <w:rFonts w:ascii="Times New Roman" w:eastAsia="Times New Roman" w:hAnsi="Times New Roman" w:cs="Times New Roman"/>
      <w:b/>
      <w:bCs/>
      <w:i/>
      <w:iCs/>
      <w:smallCaps w:val="0"/>
      <w:strike w:val="0"/>
      <w:color w:val="000000"/>
      <w:spacing w:val="0"/>
      <w:w w:val="100"/>
      <w:position w:val="0"/>
      <w:sz w:val="22"/>
      <w:szCs w:val="22"/>
      <w:u w:val="single"/>
      <w:lang w:val="ro-RO" w:eastAsia="ro-RO" w:bidi="ro-RO"/>
    </w:rPr>
  </w:style>
  <w:style w:type="character" w:customStyle="1" w:styleId="Bodytext2BoldItalic">
    <w:name w:val="Body text (2) + Bold.Italic"/>
    <w:basedOn w:val="Bodytext2"/>
    <w:rsid w:val="005C32E6"/>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o-RO" w:eastAsia="ro-RO" w:bidi="ro-RO"/>
    </w:rPr>
  </w:style>
  <w:style w:type="character" w:customStyle="1" w:styleId="Bodytext2BoldItalicSpacing2pt">
    <w:name w:val="Body text (2) + Bold.Italic.Spacing 2 pt"/>
    <w:basedOn w:val="Bodytext2"/>
    <w:rsid w:val="006331C7"/>
    <w:rPr>
      <w:rFonts w:ascii="Times New Roman" w:eastAsia="Times New Roman" w:hAnsi="Times New Roman" w:cs="Times New Roman"/>
      <w:b/>
      <w:bCs/>
      <w:i/>
      <w:iCs/>
      <w:smallCaps w:val="0"/>
      <w:strike w:val="0"/>
      <w:color w:val="000000"/>
      <w:spacing w:val="40"/>
      <w:w w:val="100"/>
      <w:position w:val="0"/>
      <w:sz w:val="22"/>
      <w:szCs w:val="22"/>
      <w:u w:val="none"/>
      <w:shd w:val="clear" w:color="auto" w:fill="FFFFFF"/>
      <w:lang w:val="ro-RO" w:eastAsia="ro-RO" w:bidi="ro-RO"/>
    </w:rPr>
  </w:style>
  <w:style w:type="character" w:customStyle="1" w:styleId="ListParagraphChar">
    <w:name w:val="List Paragraph Char"/>
    <w:aliases w:val="Heading1 Char,Bullet Styles para Char,List Paragraph (numbered (a)) Char,Párrafo de lista Char,Bullet Char,Numbered Para 1 Char,Dot pt Char,No Spacing1 Char,List Paragraph Char Char Char Char,Indicator Text Char,Bullet Points Char"/>
    <w:link w:val="ListParagraph"/>
    <w:qFormat/>
    <w:locked/>
    <w:rsid w:val="00113E57"/>
    <w:rPr>
      <w:rFonts w:ascii="Calibri" w:eastAsia="SimSun" w:hAnsi="Calibri" w:cs="Times New Roman"/>
      <w:lang w:val="ro-RO" w:eastAsia="zh-CN"/>
    </w:rPr>
  </w:style>
  <w:style w:type="character" w:customStyle="1" w:styleId="fontstyle01">
    <w:name w:val="fontstyle01"/>
    <w:basedOn w:val="DefaultParagraphFont"/>
    <w:rsid w:val="00113E57"/>
    <w:rPr>
      <w:rFonts w:ascii="Times New Roman" w:hAnsi="Times New Roman" w:cs="Times New Roman" w:hint="default"/>
      <w:b w:val="0"/>
      <w:bCs w:val="0"/>
      <w:i/>
      <w:iCs/>
      <w:color w:val="000000"/>
      <w:sz w:val="24"/>
      <w:szCs w:val="24"/>
    </w:rPr>
  </w:style>
  <w:style w:type="paragraph" w:styleId="Title">
    <w:name w:val="Title"/>
    <w:basedOn w:val="Normal"/>
    <w:link w:val="TitleChar"/>
    <w:qFormat/>
    <w:rsid w:val="00371171"/>
    <w:pPr>
      <w:jc w:val="center"/>
    </w:pPr>
    <w:rPr>
      <w:sz w:val="28"/>
      <w:szCs w:val="20"/>
    </w:rPr>
  </w:style>
  <w:style w:type="character" w:customStyle="1" w:styleId="TitleChar">
    <w:name w:val="Title Char"/>
    <w:basedOn w:val="DefaultParagraphFont"/>
    <w:link w:val="Title"/>
    <w:rsid w:val="00371171"/>
    <w:rPr>
      <w:rFonts w:ascii="Times New Roman" w:eastAsia="Times New Roman" w:hAnsi="Times New Roman" w:cs="Times New Roman"/>
      <w:sz w:val="28"/>
      <w:szCs w:val="20"/>
      <w:lang w:eastAsia="ru-RU"/>
    </w:rPr>
  </w:style>
  <w:style w:type="character" w:customStyle="1" w:styleId="Bodytext90">
    <w:name w:val="Body text (9)_"/>
    <w:basedOn w:val="DefaultParagraphFont"/>
    <w:rsid w:val="005A4D4C"/>
    <w:rPr>
      <w:rFonts w:ascii="Times New Roman" w:eastAsia="Times New Roman" w:hAnsi="Times New Roman" w:cs="Times New Roman"/>
      <w:b/>
      <w:bCs/>
      <w:i w:val="0"/>
      <w:iCs w:val="0"/>
      <w:smallCaps w:val="0"/>
      <w:strike w:val="0"/>
      <w:sz w:val="22"/>
      <w:szCs w:val="22"/>
      <w:u w:val="none"/>
    </w:rPr>
  </w:style>
  <w:style w:type="character" w:customStyle="1" w:styleId="Bodytext10">
    <w:name w:val="Body text (10)_"/>
    <w:basedOn w:val="DefaultParagraphFont"/>
    <w:rsid w:val="005A4D4C"/>
    <w:rPr>
      <w:rFonts w:ascii="Times New Roman" w:eastAsia="Times New Roman" w:hAnsi="Times New Roman" w:cs="Times New Roman"/>
      <w:b w:val="0"/>
      <w:bCs w:val="0"/>
      <w:i/>
      <w:iCs/>
      <w:smallCaps w:val="0"/>
      <w:strike w:val="0"/>
      <w:sz w:val="22"/>
      <w:szCs w:val="22"/>
      <w:u w:val="none"/>
    </w:rPr>
  </w:style>
  <w:style w:type="character" w:customStyle="1" w:styleId="Bodytext100">
    <w:name w:val="Body text (10)"/>
    <w:basedOn w:val="Bodytext10"/>
    <w:rsid w:val="005A4D4C"/>
    <w:rPr>
      <w:rFonts w:ascii="Times New Roman" w:eastAsia="Times New Roman" w:hAnsi="Times New Roman" w:cs="Times New Roman"/>
      <w:b w:val="0"/>
      <w:bCs w:val="0"/>
      <w:i/>
      <w:iCs/>
      <w:smallCaps w:val="0"/>
      <w:strike w:val="0"/>
      <w:color w:val="000000"/>
      <w:spacing w:val="0"/>
      <w:w w:val="100"/>
      <w:position w:val="0"/>
      <w:sz w:val="22"/>
      <w:szCs w:val="22"/>
      <w:u w:val="single"/>
      <w:lang w:val="ro-RO" w:eastAsia="ro-RO" w:bidi="ro-RO"/>
    </w:rPr>
  </w:style>
  <w:style w:type="character" w:customStyle="1" w:styleId="Bodytext10Bold">
    <w:name w:val="Body text (10) + Bold"/>
    <w:basedOn w:val="Bodytext10"/>
    <w:rsid w:val="005A4D4C"/>
    <w:rPr>
      <w:rFonts w:ascii="Times New Roman" w:eastAsia="Times New Roman" w:hAnsi="Times New Roman" w:cs="Times New Roman"/>
      <w:b/>
      <w:bCs/>
      <w:i/>
      <w:iCs/>
      <w:smallCaps w:val="0"/>
      <w:strike w:val="0"/>
      <w:color w:val="000000"/>
      <w:spacing w:val="0"/>
      <w:w w:val="100"/>
      <w:position w:val="0"/>
      <w:sz w:val="22"/>
      <w:szCs w:val="22"/>
      <w:u w:val="none"/>
      <w:lang w:val="ro-RO" w:eastAsia="ro-RO" w:bidi="ro-RO"/>
    </w:rPr>
  </w:style>
  <w:style w:type="character" w:customStyle="1" w:styleId="Bodytext10NotItalic">
    <w:name w:val="Body text (10) + Not Italic"/>
    <w:basedOn w:val="Bodytext10"/>
    <w:rsid w:val="005A4D4C"/>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apple-converted-space">
    <w:name w:val="apple-converted-space"/>
    <w:rsid w:val="00EC3C47"/>
  </w:style>
  <w:style w:type="paragraph" w:customStyle="1" w:styleId="def">
    <w:name w:val="def"/>
    <w:basedOn w:val="Normal"/>
    <w:rsid w:val="00EC3C47"/>
    <w:pPr>
      <w:spacing w:before="100" w:beforeAutospacing="1" w:after="100" w:afterAutospacing="1"/>
    </w:pPr>
    <w:rPr>
      <w:lang w:val="ro-RO" w:eastAsia="ro-RO"/>
    </w:rPr>
  </w:style>
  <w:style w:type="character" w:customStyle="1" w:styleId="spaced">
    <w:name w:val="spaced"/>
    <w:rsid w:val="00EC3C47"/>
  </w:style>
  <w:style w:type="character" w:styleId="Hyperlink">
    <w:name w:val="Hyperlink"/>
    <w:basedOn w:val="DefaultParagraphFont"/>
    <w:uiPriority w:val="99"/>
    <w:unhideWhenUsed/>
    <w:rsid w:val="00E54ABE"/>
    <w:rPr>
      <w:color w:val="0000FF" w:themeColor="hyperlink"/>
      <w:u w:val="single"/>
    </w:rPr>
  </w:style>
  <w:style w:type="paragraph" w:customStyle="1" w:styleId="cn">
    <w:name w:val="cn"/>
    <w:basedOn w:val="Normal"/>
    <w:rsid w:val="004F00C6"/>
    <w:pPr>
      <w:jc w:val="center"/>
    </w:pPr>
  </w:style>
  <w:style w:type="table" w:styleId="TableGrid">
    <w:name w:val="Table Grid"/>
    <w:basedOn w:val="TableNormal"/>
    <w:uiPriority w:val="59"/>
    <w:rsid w:val="00592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F47A1"/>
    <w:pPr>
      <w:spacing w:after="0" w:line="240" w:lineRule="auto"/>
    </w:pPr>
  </w:style>
  <w:style w:type="paragraph" w:customStyle="1" w:styleId="cp">
    <w:name w:val="cp"/>
    <w:basedOn w:val="Normal"/>
    <w:rsid w:val="00BB463E"/>
    <w:pPr>
      <w:jc w:val="center"/>
    </w:pPr>
    <w:rPr>
      <w:rFonts w:eastAsiaTheme="minorEastAsia"/>
      <w:b/>
      <w:bCs/>
    </w:rPr>
  </w:style>
  <w:style w:type="table" w:styleId="PlainTable2">
    <w:name w:val="Plain Table 2"/>
    <w:basedOn w:val="TableNormal"/>
    <w:uiPriority w:val="42"/>
    <w:rsid w:val="00CF07A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CF07A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B7709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ris">
    <w:name w:val="cris"/>
    <w:basedOn w:val="ListParagraph"/>
    <w:link w:val="cris0"/>
    <w:qFormat/>
    <w:rsid w:val="00F3005A"/>
    <w:pPr>
      <w:numPr>
        <w:numId w:val="1"/>
      </w:numPr>
      <w:tabs>
        <w:tab w:val="left" w:pos="426"/>
        <w:tab w:val="left" w:pos="993"/>
      </w:tabs>
      <w:spacing w:after="120" w:line="240" w:lineRule="auto"/>
      <w:jc w:val="both"/>
    </w:pPr>
    <w:rPr>
      <w:rFonts w:ascii="Times New Roman" w:eastAsia="Calibri" w:hAnsi="Times New Roman"/>
      <w:sz w:val="24"/>
      <w:szCs w:val="24"/>
      <w:lang w:val="ro-MD"/>
    </w:rPr>
  </w:style>
  <w:style w:type="character" w:customStyle="1" w:styleId="cris0">
    <w:name w:val="cris Знак"/>
    <w:basedOn w:val="ListParagraphChar"/>
    <w:link w:val="cris"/>
    <w:rsid w:val="00F3005A"/>
    <w:rPr>
      <w:rFonts w:ascii="Times New Roman" w:eastAsia="Calibri" w:hAnsi="Times New Roman" w:cs="Times New Roman"/>
      <w:sz w:val="24"/>
      <w:szCs w:val="24"/>
      <w:lang w:val="ro-MD" w:eastAsia="zh-CN"/>
    </w:rPr>
  </w:style>
  <w:style w:type="paragraph" w:customStyle="1" w:styleId="TextNormal">
    <w:name w:val="Text Normal"/>
    <w:basedOn w:val="Normal"/>
    <w:qFormat/>
    <w:rsid w:val="0009442E"/>
    <w:pPr>
      <w:spacing w:after="120"/>
    </w:pPr>
    <w:rPr>
      <w:rFonts w:ascii="Calibri" w:eastAsia="MS Mincho" w:hAnsi="Calibri" w:cs="Calibri"/>
      <w:sz w:val="22"/>
      <w:szCs w:val="22"/>
      <w:lang w:val="en-US" w:eastAsia="en-US" w:bidi="ne-NP"/>
    </w:rPr>
  </w:style>
  <w:style w:type="character" w:customStyle="1" w:styleId="NoSpacingChar">
    <w:name w:val="No Spacing Char"/>
    <w:basedOn w:val="DefaultParagraphFont"/>
    <w:link w:val="NoSpacing"/>
    <w:uiPriority w:val="1"/>
    <w:rsid w:val="0009442E"/>
  </w:style>
  <w:style w:type="paragraph" w:styleId="BodyText">
    <w:name w:val="Body Text"/>
    <w:basedOn w:val="Normal"/>
    <w:link w:val="BodyTextChar"/>
    <w:uiPriority w:val="99"/>
    <w:semiHidden/>
    <w:unhideWhenUsed/>
    <w:rsid w:val="00F10615"/>
    <w:pPr>
      <w:spacing w:after="120" w:line="259" w:lineRule="auto"/>
    </w:pPr>
    <w:rPr>
      <w:rFonts w:eastAsiaTheme="minorHAnsi"/>
      <w:sz w:val="28"/>
      <w:szCs w:val="28"/>
      <w:lang w:val="ro-RO" w:eastAsia="en-US"/>
    </w:rPr>
  </w:style>
  <w:style w:type="character" w:customStyle="1" w:styleId="BodyTextChar">
    <w:name w:val="Body Text Char"/>
    <w:basedOn w:val="DefaultParagraphFont"/>
    <w:link w:val="BodyText"/>
    <w:uiPriority w:val="99"/>
    <w:semiHidden/>
    <w:rsid w:val="00F10615"/>
    <w:rPr>
      <w:rFonts w:ascii="Times New Roman" w:hAnsi="Times New Roman" w:cs="Times New Roman"/>
      <w:sz w:val="28"/>
      <w:szCs w:val="28"/>
      <w:lang w:val="ro-RO"/>
    </w:rPr>
  </w:style>
  <w:style w:type="paragraph" w:styleId="Header">
    <w:name w:val="header"/>
    <w:basedOn w:val="Normal"/>
    <w:link w:val="HeaderChar"/>
    <w:uiPriority w:val="99"/>
    <w:unhideWhenUsed/>
    <w:rsid w:val="0028443E"/>
    <w:pPr>
      <w:tabs>
        <w:tab w:val="center" w:pos="4677"/>
        <w:tab w:val="right" w:pos="9355"/>
      </w:tabs>
    </w:pPr>
  </w:style>
  <w:style w:type="character" w:customStyle="1" w:styleId="HeaderChar">
    <w:name w:val="Header Char"/>
    <w:basedOn w:val="DefaultParagraphFont"/>
    <w:link w:val="Header"/>
    <w:uiPriority w:val="99"/>
    <w:rsid w:val="0028443E"/>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28443E"/>
    <w:pPr>
      <w:tabs>
        <w:tab w:val="center" w:pos="4677"/>
        <w:tab w:val="right" w:pos="9355"/>
      </w:tabs>
    </w:pPr>
  </w:style>
  <w:style w:type="character" w:customStyle="1" w:styleId="FooterChar">
    <w:name w:val="Footer Char"/>
    <w:basedOn w:val="DefaultParagraphFont"/>
    <w:link w:val="Footer"/>
    <w:uiPriority w:val="99"/>
    <w:rsid w:val="0028443E"/>
    <w:rPr>
      <w:rFonts w:ascii="Times New Roman" w:eastAsia="Times New Roman" w:hAnsi="Times New Roman" w:cs="Times New Roman"/>
      <w:sz w:val="24"/>
      <w:szCs w:val="24"/>
      <w:lang w:eastAsia="ru-RU"/>
    </w:rPr>
  </w:style>
  <w:style w:type="paragraph" w:customStyle="1" w:styleId="1-21">
    <w:name w:val="Средняя сетка 1 - Акцент 21"/>
    <w:basedOn w:val="Normal"/>
    <w:link w:val="1-2"/>
    <w:uiPriority w:val="34"/>
    <w:qFormat/>
    <w:rsid w:val="006C606C"/>
    <w:pPr>
      <w:spacing w:after="200" w:line="276" w:lineRule="auto"/>
      <w:ind w:left="720"/>
      <w:contextualSpacing/>
    </w:pPr>
    <w:rPr>
      <w:rFonts w:ascii="Calibri" w:eastAsia="Calibri" w:hAnsi="Calibri"/>
      <w:sz w:val="22"/>
      <w:szCs w:val="22"/>
      <w:lang w:val="ro-RO" w:eastAsia="en-US"/>
    </w:rPr>
  </w:style>
  <w:style w:type="character" w:customStyle="1" w:styleId="1-2">
    <w:name w:val="Средняя сетка 1 - Акцент 2 Знак"/>
    <w:link w:val="1-21"/>
    <w:uiPriority w:val="34"/>
    <w:locked/>
    <w:rsid w:val="006C606C"/>
    <w:rPr>
      <w:rFonts w:ascii="Calibri" w:eastAsia="Calibri" w:hAnsi="Calibri" w:cs="Times New Roman"/>
      <w:lang w:val="ro-RO"/>
    </w:rPr>
  </w:style>
  <w:style w:type="character" w:customStyle="1" w:styleId="NormalWebChar">
    <w:name w:val="Normal (Web) Char"/>
    <w:aliases w:val="Знак Char,webb Char, Знак Char"/>
    <w:link w:val="NormalWeb"/>
    <w:uiPriority w:val="99"/>
    <w:rsid w:val="006C606C"/>
    <w:rPr>
      <w:rFonts w:ascii="Times New Roman" w:eastAsia="Times New Roman" w:hAnsi="Times New Roman" w:cs="Times New Roman"/>
      <w:sz w:val="24"/>
      <w:szCs w:val="24"/>
      <w:lang w:eastAsia="ru-RU"/>
    </w:rPr>
  </w:style>
  <w:style w:type="character" w:customStyle="1" w:styleId="MediumGrid1-Accent2Char">
    <w:name w:val="Medium Grid 1 - Accent 2 Char"/>
    <w:link w:val="MediumGrid1-Accent2"/>
    <w:uiPriority w:val="34"/>
    <w:locked/>
    <w:rsid w:val="004331D8"/>
    <w:rPr>
      <w:sz w:val="22"/>
      <w:szCs w:val="22"/>
      <w:lang w:val="ro-RO" w:eastAsia="en-US"/>
    </w:rPr>
  </w:style>
  <w:style w:type="table" w:styleId="MediumGrid1-Accent2">
    <w:name w:val="Medium Grid 1 Accent 2"/>
    <w:basedOn w:val="TableNormal"/>
    <w:link w:val="MediumGrid1-Accent2Char"/>
    <w:uiPriority w:val="34"/>
    <w:semiHidden/>
    <w:unhideWhenUsed/>
    <w:rsid w:val="004331D8"/>
    <w:pPr>
      <w:spacing w:after="0" w:line="240" w:lineRule="auto"/>
    </w:pPr>
    <w:rPr>
      <w:lang w:val="ro-RO"/>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Heading1Char">
    <w:name w:val="Heading 1 Char"/>
    <w:basedOn w:val="DefaultParagraphFont"/>
    <w:link w:val="Heading1"/>
    <w:uiPriority w:val="1"/>
    <w:rsid w:val="00912877"/>
    <w:rPr>
      <w:rFonts w:ascii="Georgia" w:eastAsia="Georgia" w:hAnsi="Georgia" w:cs="Georgia"/>
      <w:sz w:val="33"/>
      <w:szCs w:val="33"/>
      <w:lang w:val="ro-RO"/>
    </w:rPr>
  </w:style>
  <w:style w:type="paragraph" w:styleId="CommentSubject">
    <w:name w:val="annotation subject"/>
    <w:basedOn w:val="CommentText"/>
    <w:next w:val="CommentText"/>
    <w:link w:val="CommentSubjectChar"/>
    <w:uiPriority w:val="99"/>
    <w:semiHidden/>
    <w:unhideWhenUsed/>
    <w:rsid w:val="007E27F3"/>
    <w:rPr>
      <w:b/>
      <w:bCs/>
      <w:lang w:val="ru-RU"/>
    </w:rPr>
  </w:style>
  <w:style w:type="character" w:customStyle="1" w:styleId="CommentSubjectChar">
    <w:name w:val="Comment Subject Char"/>
    <w:basedOn w:val="CommentTextChar"/>
    <w:link w:val="CommentSubject"/>
    <w:uiPriority w:val="99"/>
    <w:semiHidden/>
    <w:rsid w:val="007E27F3"/>
    <w:rPr>
      <w:rFonts w:ascii="Times New Roman" w:eastAsia="Times New Roman" w:hAnsi="Times New Roman" w:cs="Times New Roman"/>
      <w:b/>
      <w:bCs/>
      <w:sz w:val="20"/>
      <w:szCs w:val="20"/>
      <w:lang w:val="ro-RO"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7167">
      <w:bodyDiv w:val="1"/>
      <w:marLeft w:val="0"/>
      <w:marRight w:val="0"/>
      <w:marTop w:val="0"/>
      <w:marBottom w:val="0"/>
      <w:divBdr>
        <w:top w:val="none" w:sz="0" w:space="0" w:color="auto"/>
        <w:left w:val="none" w:sz="0" w:space="0" w:color="auto"/>
        <w:bottom w:val="none" w:sz="0" w:space="0" w:color="auto"/>
        <w:right w:val="none" w:sz="0" w:space="0" w:color="auto"/>
      </w:divBdr>
    </w:div>
    <w:div w:id="122308907">
      <w:bodyDiv w:val="1"/>
      <w:marLeft w:val="0"/>
      <w:marRight w:val="0"/>
      <w:marTop w:val="0"/>
      <w:marBottom w:val="0"/>
      <w:divBdr>
        <w:top w:val="none" w:sz="0" w:space="0" w:color="auto"/>
        <w:left w:val="none" w:sz="0" w:space="0" w:color="auto"/>
        <w:bottom w:val="none" w:sz="0" w:space="0" w:color="auto"/>
        <w:right w:val="none" w:sz="0" w:space="0" w:color="auto"/>
      </w:divBdr>
    </w:div>
    <w:div w:id="131871788">
      <w:bodyDiv w:val="1"/>
      <w:marLeft w:val="0"/>
      <w:marRight w:val="0"/>
      <w:marTop w:val="0"/>
      <w:marBottom w:val="0"/>
      <w:divBdr>
        <w:top w:val="none" w:sz="0" w:space="0" w:color="auto"/>
        <w:left w:val="none" w:sz="0" w:space="0" w:color="auto"/>
        <w:bottom w:val="none" w:sz="0" w:space="0" w:color="auto"/>
        <w:right w:val="none" w:sz="0" w:space="0" w:color="auto"/>
      </w:divBdr>
    </w:div>
    <w:div w:id="234781299">
      <w:bodyDiv w:val="1"/>
      <w:marLeft w:val="0"/>
      <w:marRight w:val="0"/>
      <w:marTop w:val="0"/>
      <w:marBottom w:val="0"/>
      <w:divBdr>
        <w:top w:val="none" w:sz="0" w:space="0" w:color="auto"/>
        <w:left w:val="none" w:sz="0" w:space="0" w:color="auto"/>
        <w:bottom w:val="none" w:sz="0" w:space="0" w:color="auto"/>
        <w:right w:val="none" w:sz="0" w:space="0" w:color="auto"/>
      </w:divBdr>
    </w:div>
    <w:div w:id="295531968">
      <w:bodyDiv w:val="1"/>
      <w:marLeft w:val="0"/>
      <w:marRight w:val="0"/>
      <w:marTop w:val="0"/>
      <w:marBottom w:val="0"/>
      <w:divBdr>
        <w:top w:val="none" w:sz="0" w:space="0" w:color="auto"/>
        <w:left w:val="none" w:sz="0" w:space="0" w:color="auto"/>
        <w:bottom w:val="none" w:sz="0" w:space="0" w:color="auto"/>
        <w:right w:val="none" w:sz="0" w:space="0" w:color="auto"/>
      </w:divBdr>
    </w:div>
    <w:div w:id="324666942">
      <w:bodyDiv w:val="1"/>
      <w:marLeft w:val="0"/>
      <w:marRight w:val="0"/>
      <w:marTop w:val="0"/>
      <w:marBottom w:val="0"/>
      <w:divBdr>
        <w:top w:val="none" w:sz="0" w:space="0" w:color="auto"/>
        <w:left w:val="none" w:sz="0" w:space="0" w:color="auto"/>
        <w:bottom w:val="none" w:sz="0" w:space="0" w:color="auto"/>
        <w:right w:val="none" w:sz="0" w:space="0" w:color="auto"/>
      </w:divBdr>
    </w:div>
    <w:div w:id="358550460">
      <w:bodyDiv w:val="1"/>
      <w:marLeft w:val="0"/>
      <w:marRight w:val="0"/>
      <w:marTop w:val="0"/>
      <w:marBottom w:val="0"/>
      <w:divBdr>
        <w:top w:val="none" w:sz="0" w:space="0" w:color="auto"/>
        <w:left w:val="none" w:sz="0" w:space="0" w:color="auto"/>
        <w:bottom w:val="none" w:sz="0" w:space="0" w:color="auto"/>
        <w:right w:val="none" w:sz="0" w:space="0" w:color="auto"/>
      </w:divBdr>
    </w:div>
    <w:div w:id="370569598">
      <w:bodyDiv w:val="1"/>
      <w:marLeft w:val="0"/>
      <w:marRight w:val="0"/>
      <w:marTop w:val="0"/>
      <w:marBottom w:val="0"/>
      <w:divBdr>
        <w:top w:val="none" w:sz="0" w:space="0" w:color="auto"/>
        <w:left w:val="none" w:sz="0" w:space="0" w:color="auto"/>
        <w:bottom w:val="none" w:sz="0" w:space="0" w:color="auto"/>
        <w:right w:val="none" w:sz="0" w:space="0" w:color="auto"/>
      </w:divBdr>
    </w:div>
    <w:div w:id="411778084">
      <w:bodyDiv w:val="1"/>
      <w:marLeft w:val="0"/>
      <w:marRight w:val="0"/>
      <w:marTop w:val="0"/>
      <w:marBottom w:val="0"/>
      <w:divBdr>
        <w:top w:val="none" w:sz="0" w:space="0" w:color="auto"/>
        <w:left w:val="none" w:sz="0" w:space="0" w:color="auto"/>
        <w:bottom w:val="none" w:sz="0" w:space="0" w:color="auto"/>
        <w:right w:val="none" w:sz="0" w:space="0" w:color="auto"/>
      </w:divBdr>
    </w:div>
    <w:div w:id="437332186">
      <w:bodyDiv w:val="1"/>
      <w:marLeft w:val="0"/>
      <w:marRight w:val="0"/>
      <w:marTop w:val="0"/>
      <w:marBottom w:val="0"/>
      <w:divBdr>
        <w:top w:val="none" w:sz="0" w:space="0" w:color="auto"/>
        <w:left w:val="none" w:sz="0" w:space="0" w:color="auto"/>
        <w:bottom w:val="none" w:sz="0" w:space="0" w:color="auto"/>
        <w:right w:val="none" w:sz="0" w:space="0" w:color="auto"/>
      </w:divBdr>
    </w:div>
    <w:div w:id="517739769">
      <w:bodyDiv w:val="1"/>
      <w:marLeft w:val="0"/>
      <w:marRight w:val="0"/>
      <w:marTop w:val="0"/>
      <w:marBottom w:val="0"/>
      <w:divBdr>
        <w:top w:val="none" w:sz="0" w:space="0" w:color="auto"/>
        <w:left w:val="none" w:sz="0" w:space="0" w:color="auto"/>
        <w:bottom w:val="none" w:sz="0" w:space="0" w:color="auto"/>
        <w:right w:val="none" w:sz="0" w:space="0" w:color="auto"/>
      </w:divBdr>
    </w:div>
    <w:div w:id="599219949">
      <w:bodyDiv w:val="1"/>
      <w:marLeft w:val="0"/>
      <w:marRight w:val="0"/>
      <w:marTop w:val="0"/>
      <w:marBottom w:val="0"/>
      <w:divBdr>
        <w:top w:val="none" w:sz="0" w:space="0" w:color="auto"/>
        <w:left w:val="none" w:sz="0" w:space="0" w:color="auto"/>
        <w:bottom w:val="none" w:sz="0" w:space="0" w:color="auto"/>
        <w:right w:val="none" w:sz="0" w:space="0" w:color="auto"/>
      </w:divBdr>
    </w:div>
    <w:div w:id="632710376">
      <w:bodyDiv w:val="1"/>
      <w:marLeft w:val="0"/>
      <w:marRight w:val="0"/>
      <w:marTop w:val="0"/>
      <w:marBottom w:val="0"/>
      <w:divBdr>
        <w:top w:val="none" w:sz="0" w:space="0" w:color="auto"/>
        <w:left w:val="none" w:sz="0" w:space="0" w:color="auto"/>
        <w:bottom w:val="none" w:sz="0" w:space="0" w:color="auto"/>
        <w:right w:val="none" w:sz="0" w:space="0" w:color="auto"/>
      </w:divBdr>
    </w:div>
    <w:div w:id="633872768">
      <w:bodyDiv w:val="1"/>
      <w:marLeft w:val="0"/>
      <w:marRight w:val="0"/>
      <w:marTop w:val="0"/>
      <w:marBottom w:val="0"/>
      <w:divBdr>
        <w:top w:val="none" w:sz="0" w:space="0" w:color="auto"/>
        <w:left w:val="none" w:sz="0" w:space="0" w:color="auto"/>
        <w:bottom w:val="none" w:sz="0" w:space="0" w:color="auto"/>
        <w:right w:val="none" w:sz="0" w:space="0" w:color="auto"/>
      </w:divBdr>
    </w:div>
    <w:div w:id="666395951">
      <w:bodyDiv w:val="1"/>
      <w:marLeft w:val="0"/>
      <w:marRight w:val="0"/>
      <w:marTop w:val="0"/>
      <w:marBottom w:val="0"/>
      <w:divBdr>
        <w:top w:val="none" w:sz="0" w:space="0" w:color="auto"/>
        <w:left w:val="none" w:sz="0" w:space="0" w:color="auto"/>
        <w:bottom w:val="none" w:sz="0" w:space="0" w:color="auto"/>
        <w:right w:val="none" w:sz="0" w:space="0" w:color="auto"/>
      </w:divBdr>
    </w:div>
    <w:div w:id="806356189">
      <w:bodyDiv w:val="1"/>
      <w:marLeft w:val="0"/>
      <w:marRight w:val="0"/>
      <w:marTop w:val="0"/>
      <w:marBottom w:val="0"/>
      <w:divBdr>
        <w:top w:val="none" w:sz="0" w:space="0" w:color="auto"/>
        <w:left w:val="none" w:sz="0" w:space="0" w:color="auto"/>
        <w:bottom w:val="none" w:sz="0" w:space="0" w:color="auto"/>
        <w:right w:val="none" w:sz="0" w:space="0" w:color="auto"/>
      </w:divBdr>
    </w:div>
    <w:div w:id="930042074">
      <w:bodyDiv w:val="1"/>
      <w:marLeft w:val="0"/>
      <w:marRight w:val="0"/>
      <w:marTop w:val="0"/>
      <w:marBottom w:val="0"/>
      <w:divBdr>
        <w:top w:val="none" w:sz="0" w:space="0" w:color="auto"/>
        <w:left w:val="none" w:sz="0" w:space="0" w:color="auto"/>
        <w:bottom w:val="none" w:sz="0" w:space="0" w:color="auto"/>
        <w:right w:val="none" w:sz="0" w:space="0" w:color="auto"/>
      </w:divBdr>
    </w:div>
    <w:div w:id="946888745">
      <w:bodyDiv w:val="1"/>
      <w:marLeft w:val="0"/>
      <w:marRight w:val="0"/>
      <w:marTop w:val="0"/>
      <w:marBottom w:val="0"/>
      <w:divBdr>
        <w:top w:val="none" w:sz="0" w:space="0" w:color="auto"/>
        <w:left w:val="none" w:sz="0" w:space="0" w:color="auto"/>
        <w:bottom w:val="none" w:sz="0" w:space="0" w:color="auto"/>
        <w:right w:val="none" w:sz="0" w:space="0" w:color="auto"/>
      </w:divBdr>
    </w:div>
    <w:div w:id="980426872">
      <w:bodyDiv w:val="1"/>
      <w:marLeft w:val="0"/>
      <w:marRight w:val="0"/>
      <w:marTop w:val="0"/>
      <w:marBottom w:val="0"/>
      <w:divBdr>
        <w:top w:val="none" w:sz="0" w:space="0" w:color="auto"/>
        <w:left w:val="none" w:sz="0" w:space="0" w:color="auto"/>
        <w:bottom w:val="none" w:sz="0" w:space="0" w:color="auto"/>
        <w:right w:val="none" w:sz="0" w:space="0" w:color="auto"/>
      </w:divBdr>
    </w:div>
    <w:div w:id="1024211620">
      <w:bodyDiv w:val="1"/>
      <w:marLeft w:val="0"/>
      <w:marRight w:val="0"/>
      <w:marTop w:val="0"/>
      <w:marBottom w:val="0"/>
      <w:divBdr>
        <w:top w:val="none" w:sz="0" w:space="0" w:color="auto"/>
        <w:left w:val="none" w:sz="0" w:space="0" w:color="auto"/>
        <w:bottom w:val="none" w:sz="0" w:space="0" w:color="auto"/>
        <w:right w:val="none" w:sz="0" w:space="0" w:color="auto"/>
      </w:divBdr>
    </w:div>
    <w:div w:id="1046028407">
      <w:bodyDiv w:val="1"/>
      <w:marLeft w:val="0"/>
      <w:marRight w:val="0"/>
      <w:marTop w:val="0"/>
      <w:marBottom w:val="0"/>
      <w:divBdr>
        <w:top w:val="none" w:sz="0" w:space="0" w:color="auto"/>
        <w:left w:val="none" w:sz="0" w:space="0" w:color="auto"/>
        <w:bottom w:val="none" w:sz="0" w:space="0" w:color="auto"/>
        <w:right w:val="none" w:sz="0" w:space="0" w:color="auto"/>
      </w:divBdr>
    </w:div>
    <w:div w:id="1061756407">
      <w:bodyDiv w:val="1"/>
      <w:marLeft w:val="0"/>
      <w:marRight w:val="0"/>
      <w:marTop w:val="0"/>
      <w:marBottom w:val="0"/>
      <w:divBdr>
        <w:top w:val="none" w:sz="0" w:space="0" w:color="auto"/>
        <w:left w:val="none" w:sz="0" w:space="0" w:color="auto"/>
        <w:bottom w:val="none" w:sz="0" w:space="0" w:color="auto"/>
        <w:right w:val="none" w:sz="0" w:space="0" w:color="auto"/>
      </w:divBdr>
    </w:div>
    <w:div w:id="1127548427">
      <w:bodyDiv w:val="1"/>
      <w:marLeft w:val="0"/>
      <w:marRight w:val="0"/>
      <w:marTop w:val="0"/>
      <w:marBottom w:val="0"/>
      <w:divBdr>
        <w:top w:val="none" w:sz="0" w:space="0" w:color="auto"/>
        <w:left w:val="none" w:sz="0" w:space="0" w:color="auto"/>
        <w:bottom w:val="none" w:sz="0" w:space="0" w:color="auto"/>
        <w:right w:val="none" w:sz="0" w:space="0" w:color="auto"/>
      </w:divBdr>
    </w:div>
    <w:div w:id="1185169499">
      <w:bodyDiv w:val="1"/>
      <w:marLeft w:val="0"/>
      <w:marRight w:val="0"/>
      <w:marTop w:val="0"/>
      <w:marBottom w:val="0"/>
      <w:divBdr>
        <w:top w:val="none" w:sz="0" w:space="0" w:color="auto"/>
        <w:left w:val="none" w:sz="0" w:space="0" w:color="auto"/>
        <w:bottom w:val="none" w:sz="0" w:space="0" w:color="auto"/>
        <w:right w:val="none" w:sz="0" w:space="0" w:color="auto"/>
      </w:divBdr>
    </w:div>
    <w:div w:id="1240559366">
      <w:bodyDiv w:val="1"/>
      <w:marLeft w:val="0"/>
      <w:marRight w:val="0"/>
      <w:marTop w:val="0"/>
      <w:marBottom w:val="0"/>
      <w:divBdr>
        <w:top w:val="none" w:sz="0" w:space="0" w:color="auto"/>
        <w:left w:val="none" w:sz="0" w:space="0" w:color="auto"/>
        <w:bottom w:val="none" w:sz="0" w:space="0" w:color="auto"/>
        <w:right w:val="none" w:sz="0" w:space="0" w:color="auto"/>
      </w:divBdr>
    </w:div>
    <w:div w:id="1322200054">
      <w:bodyDiv w:val="1"/>
      <w:marLeft w:val="0"/>
      <w:marRight w:val="0"/>
      <w:marTop w:val="0"/>
      <w:marBottom w:val="0"/>
      <w:divBdr>
        <w:top w:val="none" w:sz="0" w:space="0" w:color="auto"/>
        <w:left w:val="none" w:sz="0" w:space="0" w:color="auto"/>
        <w:bottom w:val="none" w:sz="0" w:space="0" w:color="auto"/>
        <w:right w:val="none" w:sz="0" w:space="0" w:color="auto"/>
      </w:divBdr>
    </w:div>
    <w:div w:id="1441484169">
      <w:bodyDiv w:val="1"/>
      <w:marLeft w:val="0"/>
      <w:marRight w:val="0"/>
      <w:marTop w:val="0"/>
      <w:marBottom w:val="0"/>
      <w:divBdr>
        <w:top w:val="none" w:sz="0" w:space="0" w:color="auto"/>
        <w:left w:val="none" w:sz="0" w:space="0" w:color="auto"/>
        <w:bottom w:val="none" w:sz="0" w:space="0" w:color="auto"/>
        <w:right w:val="none" w:sz="0" w:space="0" w:color="auto"/>
      </w:divBdr>
    </w:div>
    <w:div w:id="1540045650">
      <w:bodyDiv w:val="1"/>
      <w:marLeft w:val="0"/>
      <w:marRight w:val="0"/>
      <w:marTop w:val="0"/>
      <w:marBottom w:val="0"/>
      <w:divBdr>
        <w:top w:val="none" w:sz="0" w:space="0" w:color="auto"/>
        <w:left w:val="none" w:sz="0" w:space="0" w:color="auto"/>
        <w:bottom w:val="none" w:sz="0" w:space="0" w:color="auto"/>
        <w:right w:val="none" w:sz="0" w:space="0" w:color="auto"/>
      </w:divBdr>
    </w:div>
    <w:div w:id="1626350720">
      <w:bodyDiv w:val="1"/>
      <w:marLeft w:val="0"/>
      <w:marRight w:val="0"/>
      <w:marTop w:val="0"/>
      <w:marBottom w:val="0"/>
      <w:divBdr>
        <w:top w:val="none" w:sz="0" w:space="0" w:color="auto"/>
        <w:left w:val="none" w:sz="0" w:space="0" w:color="auto"/>
        <w:bottom w:val="none" w:sz="0" w:space="0" w:color="auto"/>
        <w:right w:val="none" w:sz="0" w:space="0" w:color="auto"/>
      </w:divBdr>
    </w:div>
    <w:div w:id="1799302074">
      <w:bodyDiv w:val="1"/>
      <w:marLeft w:val="0"/>
      <w:marRight w:val="0"/>
      <w:marTop w:val="0"/>
      <w:marBottom w:val="0"/>
      <w:divBdr>
        <w:top w:val="none" w:sz="0" w:space="0" w:color="auto"/>
        <w:left w:val="none" w:sz="0" w:space="0" w:color="auto"/>
        <w:bottom w:val="none" w:sz="0" w:space="0" w:color="auto"/>
        <w:right w:val="none" w:sz="0" w:space="0" w:color="auto"/>
      </w:divBdr>
    </w:div>
    <w:div w:id="1806775219">
      <w:bodyDiv w:val="1"/>
      <w:marLeft w:val="0"/>
      <w:marRight w:val="0"/>
      <w:marTop w:val="0"/>
      <w:marBottom w:val="0"/>
      <w:divBdr>
        <w:top w:val="none" w:sz="0" w:space="0" w:color="auto"/>
        <w:left w:val="none" w:sz="0" w:space="0" w:color="auto"/>
        <w:bottom w:val="none" w:sz="0" w:space="0" w:color="auto"/>
        <w:right w:val="none" w:sz="0" w:space="0" w:color="auto"/>
      </w:divBdr>
    </w:div>
    <w:div w:id="1841387039">
      <w:bodyDiv w:val="1"/>
      <w:marLeft w:val="0"/>
      <w:marRight w:val="0"/>
      <w:marTop w:val="0"/>
      <w:marBottom w:val="0"/>
      <w:divBdr>
        <w:top w:val="none" w:sz="0" w:space="0" w:color="auto"/>
        <w:left w:val="none" w:sz="0" w:space="0" w:color="auto"/>
        <w:bottom w:val="none" w:sz="0" w:space="0" w:color="auto"/>
        <w:right w:val="none" w:sz="0" w:space="0" w:color="auto"/>
      </w:divBdr>
    </w:div>
    <w:div w:id="1875846083">
      <w:bodyDiv w:val="1"/>
      <w:marLeft w:val="0"/>
      <w:marRight w:val="0"/>
      <w:marTop w:val="0"/>
      <w:marBottom w:val="0"/>
      <w:divBdr>
        <w:top w:val="none" w:sz="0" w:space="0" w:color="auto"/>
        <w:left w:val="none" w:sz="0" w:space="0" w:color="auto"/>
        <w:bottom w:val="none" w:sz="0" w:space="0" w:color="auto"/>
        <w:right w:val="none" w:sz="0" w:space="0" w:color="auto"/>
      </w:divBdr>
    </w:div>
    <w:div w:id="1928735340">
      <w:bodyDiv w:val="1"/>
      <w:marLeft w:val="0"/>
      <w:marRight w:val="0"/>
      <w:marTop w:val="0"/>
      <w:marBottom w:val="0"/>
      <w:divBdr>
        <w:top w:val="none" w:sz="0" w:space="0" w:color="auto"/>
        <w:left w:val="none" w:sz="0" w:space="0" w:color="auto"/>
        <w:bottom w:val="none" w:sz="0" w:space="0" w:color="auto"/>
        <w:right w:val="none" w:sz="0" w:space="0" w:color="auto"/>
      </w:divBdr>
    </w:div>
    <w:div w:id="1930919082">
      <w:bodyDiv w:val="1"/>
      <w:marLeft w:val="0"/>
      <w:marRight w:val="0"/>
      <w:marTop w:val="0"/>
      <w:marBottom w:val="0"/>
      <w:divBdr>
        <w:top w:val="none" w:sz="0" w:space="0" w:color="auto"/>
        <w:left w:val="none" w:sz="0" w:space="0" w:color="auto"/>
        <w:bottom w:val="none" w:sz="0" w:space="0" w:color="auto"/>
        <w:right w:val="none" w:sz="0" w:space="0" w:color="auto"/>
      </w:divBdr>
    </w:div>
    <w:div w:id="1941139078">
      <w:bodyDiv w:val="1"/>
      <w:marLeft w:val="0"/>
      <w:marRight w:val="0"/>
      <w:marTop w:val="0"/>
      <w:marBottom w:val="0"/>
      <w:divBdr>
        <w:top w:val="none" w:sz="0" w:space="0" w:color="auto"/>
        <w:left w:val="none" w:sz="0" w:space="0" w:color="auto"/>
        <w:bottom w:val="none" w:sz="0" w:space="0" w:color="auto"/>
        <w:right w:val="none" w:sz="0" w:space="0" w:color="auto"/>
      </w:divBdr>
    </w:div>
    <w:div w:id="2044211787">
      <w:bodyDiv w:val="1"/>
      <w:marLeft w:val="0"/>
      <w:marRight w:val="0"/>
      <w:marTop w:val="0"/>
      <w:marBottom w:val="0"/>
      <w:divBdr>
        <w:top w:val="none" w:sz="0" w:space="0" w:color="auto"/>
        <w:left w:val="none" w:sz="0" w:space="0" w:color="auto"/>
        <w:bottom w:val="none" w:sz="0" w:space="0" w:color="auto"/>
        <w:right w:val="none" w:sz="0" w:space="0" w:color="auto"/>
      </w:divBdr>
    </w:div>
    <w:div w:id="2049714934">
      <w:bodyDiv w:val="1"/>
      <w:marLeft w:val="0"/>
      <w:marRight w:val="0"/>
      <w:marTop w:val="0"/>
      <w:marBottom w:val="0"/>
      <w:divBdr>
        <w:top w:val="none" w:sz="0" w:space="0" w:color="auto"/>
        <w:left w:val="none" w:sz="0" w:space="0" w:color="auto"/>
        <w:bottom w:val="none" w:sz="0" w:space="0" w:color="auto"/>
        <w:right w:val="none" w:sz="0" w:space="0" w:color="auto"/>
      </w:divBdr>
    </w:div>
    <w:div w:id="2056391578">
      <w:bodyDiv w:val="1"/>
      <w:marLeft w:val="0"/>
      <w:marRight w:val="0"/>
      <w:marTop w:val="0"/>
      <w:marBottom w:val="0"/>
      <w:divBdr>
        <w:top w:val="none" w:sz="0" w:space="0" w:color="auto"/>
        <w:left w:val="none" w:sz="0" w:space="0" w:color="auto"/>
        <w:bottom w:val="none" w:sz="0" w:space="0" w:color="auto"/>
        <w:right w:val="none" w:sz="0" w:space="0" w:color="auto"/>
      </w:divBdr>
    </w:div>
    <w:div w:id="2058505456">
      <w:bodyDiv w:val="1"/>
      <w:marLeft w:val="0"/>
      <w:marRight w:val="0"/>
      <w:marTop w:val="0"/>
      <w:marBottom w:val="0"/>
      <w:divBdr>
        <w:top w:val="none" w:sz="0" w:space="0" w:color="auto"/>
        <w:left w:val="none" w:sz="0" w:space="0" w:color="auto"/>
        <w:bottom w:val="none" w:sz="0" w:space="0" w:color="auto"/>
        <w:right w:val="none" w:sz="0" w:space="0" w:color="auto"/>
      </w:divBdr>
    </w:div>
    <w:div w:id="2062367090">
      <w:bodyDiv w:val="1"/>
      <w:marLeft w:val="0"/>
      <w:marRight w:val="0"/>
      <w:marTop w:val="0"/>
      <w:marBottom w:val="0"/>
      <w:divBdr>
        <w:top w:val="none" w:sz="0" w:space="0" w:color="auto"/>
        <w:left w:val="none" w:sz="0" w:space="0" w:color="auto"/>
        <w:bottom w:val="none" w:sz="0" w:space="0" w:color="auto"/>
        <w:right w:val="none" w:sz="0" w:space="0" w:color="auto"/>
      </w:divBdr>
    </w:div>
    <w:div w:id="2123063124">
      <w:bodyDiv w:val="1"/>
      <w:marLeft w:val="0"/>
      <w:marRight w:val="0"/>
      <w:marTop w:val="0"/>
      <w:marBottom w:val="0"/>
      <w:divBdr>
        <w:top w:val="none" w:sz="0" w:space="0" w:color="auto"/>
        <w:left w:val="none" w:sz="0" w:space="0" w:color="auto"/>
        <w:bottom w:val="none" w:sz="0" w:space="0" w:color="auto"/>
        <w:right w:val="none" w:sz="0" w:space="0" w:color="auto"/>
      </w:divBdr>
    </w:div>
    <w:div w:id="212692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E911F-0059-41BE-A12C-943A8394C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21</Pages>
  <Words>7917</Words>
  <Characters>45130</Characters>
  <Application>Microsoft Office Word</Application>
  <DocSecurity>0</DocSecurity>
  <Lines>376</Lines>
  <Paragraphs>105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52942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cojocaru</dc:creator>
  <cp:keywords/>
  <dc:description/>
  <cp:lastModifiedBy>Elena Stratulat</cp:lastModifiedBy>
  <cp:revision>24</cp:revision>
  <cp:lastPrinted>2020-05-26T08:27:00Z</cp:lastPrinted>
  <dcterms:created xsi:type="dcterms:W3CDTF">2020-09-21T13:22:00Z</dcterms:created>
  <dcterms:modified xsi:type="dcterms:W3CDTF">2020-11-13T12:09:00Z</dcterms:modified>
</cp:coreProperties>
</file>